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C1B8E2"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11DE82AE"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2048191E"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08F84774"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37D9DF6B"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3C5CE124" w14:textId="77777777" w:rsidR="002C0B5A" w:rsidRPr="00A56158" w:rsidRDefault="002C0B5A" w:rsidP="007378C7">
      <w:pPr>
        <w:spacing w:line="480" w:lineRule="auto"/>
        <w:contextualSpacing/>
        <w:jc w:val="center"/>
        <w:rPr>
          <w:rFonts w:ascii="Times New Roman" w:hAnsi="Times New Roman" w:cs="Times New Roman"/>
          <w:sz w:val="24"/>
          <w:szCs w:val="24"/>
        </w:rPr>
      </w:pPr>
    </w:p>
    <w:p w14:paraId="5235F0AD" w14:textId="0036D281" w:rsidR="006F2EBB" w:rsidRPr="00A56158" w:rsidRDefault="00986469"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 xml:space="preserve">DERIVATIVE AND RISK MANEGEMENT. A CASE STUDY </w:t>
      </w:r>
      <w:r w:rsidR="0083613E" w:rsidRPr="00A56158">
        <w:rPr>
          <w:rFonts w:ascii="Times New Roman" w:hAnsi="Times New Roman" w:cs="Times New Roman"/>
          <w:sz w:val="24"/>
          <w:szCs w:val="24"/>
        </w:rPr>
        <w:t>OF</w:t>
      </w:r>
      <w:r w:rsidRPr="00A56158">
        <w:rPr>
          <w:rFonts w:ascii="Times New Roman" w:hAnsi="Times New Roman" w:cs="Times New Roman"/>
          <w:sz w:val="24"/>
          <w:szCs w:val="24"/>
        </w:rPr>
        <w:t xml:space="preserve"> VIRGIN OZ</w:t>
      </w:r>
    </w:p>
    <w:p w14:paraId="56ECDB4F" w14:textId="3DDFF77D" w:rsidR="00986469"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By (Student Name)</w:t>
      </w:r>
    </w:p>
    <w:p w14:paraId="0BE9B000" w14:textId="179BE8DD" w:rsidR="00986469" w:rsidRPr="00A56158" w:rsidRDefault="00986469" w:rsidP="007378C7">
      <w:pPr>
        <w:spacing w:line="480" w:lineRule="auto"/>
        <w:contextualSpacing/>
        <w:jc w:val="center"/>
        <w:rPr>
          <w:rFonts w:ascii="Times New Roman" w:hAnsi="Times New Roman" w:cs="Times New Roman"/>
          <w:sz w:val="24"/>
          <w:szCs w:val="24"/>
        </w:rPr>
      </w:pPr>
    </w:p>
    <w:p w14:paraId="3669353A" w14:textId="77777777" w:rsidR="004D2F38" w:rsidRPr="00A56158" w:rsidRDefault="004D2F38" w:rsidP="007378C7">
      <w:pPr>
        <w:spacing w:line="480" w:lineRule="auto"/>
        <w:contextualSpacing/>
        <w:jc w:val="center"/>
        <w:rPr>
          <w:rFonts w:ascii="Times New Roman" w:hAnsi="Times New Roman" w:cs="Times New Roman"/>
          <w:sz w:val="24"/>
          <w:szCs w:val="24"/>
        </w:rPr>
      </w:pPr>
    </w:p>
    <w:p w14:paraId="7D2BBD85" w14:textId="2F95269B" w:rsidR="006B630C" w:rsidRPr="00A56158" w:rsidRDefault="006B630C" w:rsidP="007378C7">
      <w:pPr>
        <w:spacing w:line="480" w:lineRule="auto"/>
        <w:contextualSpacing/>
        <w:jc w:val="center"/>
        <w:rPr>
          <w:rFonts w:ascii="Times New Roman" w:hAnsi="Times New Roman" w:cs="Times New Roman"/>
          <w:sz w:val="24"/>
          <w:szCs w:val="24"/>
        </w:rPr>
      </w:pPr>
    </w:p>
    <w:p w14:paraId="07F6DBDB" w14:textId="534119FC" w:rsidR="00947DBE" w:rsidRPr="00A56158" w:rsidRDefault="00947DBE" w:rsidP="007378C7">
      <w:pPr>
        <w:spacing w:line="480" w:lineRule="auto"/>
        <w:contextualSpacing/>
        <w:jc w:val="center"/>
        <w:rPr>
          <w:rFonts w:ascii="Times New Roman" w:hAnsi="Times New Roman" w:cs="Times New Roman"/>
          <w:sz w:val="24"/>
          <w:szCs w:val="24"/>
        </w:rPr>
      </w:pPr>
    </w:p>
    <w:p w14:paraId="038EBF21" w14:textId="1646FBA7" w:rsidR="00B93FF0" w:rsidRPr="00A56158" w:rsidRDefault="00B93FF0" w:rsidP="007378C7">
      <w:pPr>
        <w:spacing w:line="480" w:lineRule="auto"/>
        <w:contextualSpacing/>
        <w:jc w:val="center"/>
        <w:rPr>
          <w:rFonts w:ascii="Times New Roman" w:hAnsi="Times New Roman" w:cs="Times New Roman"/>
          <w:sz w:val="24"/>
          <w:szCs w:val="24"/>
        </w:rPr>
      </w:pPr>
    </w:p>
    <w:p w14:paraId="3C310505" w14:textId="3F9A5201" w:rsidR="00B93FF0" w:rsidRPr="00A56158" w:rsidRDefault="00B93FF0" w:rsidP="007378C7">
      <w:pPr>
        <w:spacing w:line="480" w:lineRule="auto"/>
        <w:contextualSpacing/>
        <w:jc w:val="center"/>
        <w:rPr>
          <w:rFonts w:ascii="Times New Roman" w:hAnsi="Times New Roman" w:cs="Times New Roman"/>
          <w:sz w:val="24"/>
          <w:szCs w:val="24"/>
        </w:rPr>
      </w:pPr>
    </w:p>
    <w:p w14:paraId="1E48CB41" w14:textId="54265678"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BUSN 3031</w:t>
      </w:r>
    </w:p>
    <w:p w14:paraId="557D21C5" w14:textId="5DD00E30"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Professor (tutor)</w:t>
      </w:r>
    </w:p>
    <w:p w14:paraId="1107E4D2" w14:textId="11BD240D"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University Name</w:t>
      </w:r>
    </w:p>
    <w:p w14:paraId="5876C45B" w14:textId="0C0B6694" w:rsidR="00B93FF0" w:rsidRPr="00A56158" w:rsidRDefault="00B93FF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Date</w:t>
      </w:r>
    </w:p>
    <w:p w14:paraId="4F9DCA27" w14:textId="49F9D908" w:rsidR="00B93FF0" w:rsidRPr="00A56158" w:rsidRDefault="00B93FF0" w:rsidP="007378C7">
      <w:pPr>
        <w:spacing w:line="480" w:lineRule="auto"/>
        <w:contextualSpacing/>
        <w:rPr>
          <w:rFonts w:ascii="Times New Roman" w:hAnsi="Times New Roman" w:cs="Times New Roman"/>
          <w:sz w:val="24"/>
          <w:szCs w:val="24"/>
        </w:rPr>
      </w:pPr>
      <w:r w:rsidRPr="00A56158">
        <w:rPr>
          <w:rFonts w:ascii="Times New Roman" w:hAnsi="Times New Roman" w:cs="Times New Roman"/>
          <w:sz w:val="24"/>
          <w:szCs w:val="24"/>
        </w:rPr>
        <w:t xml:space="preserve"> </w:t>
      </w:r>
    </w:p>
    <w:p w14:paraId="24E16BE5" w14:textId="76F5054F" w:rsidR="00947DBE" w:rsidRPr="00A56158" w:rsidRDefault="00947DBE" w:rsidP="007378C7">
      <w:pPr>
        <w:spacing w:line="480" w:lineRule="auto"/>
        <w:contextualSpacing/>
        <w:rPr>
          <w:rFonts w:ascii="Times New Roman" w:hAnsi="Times New Roman" w:cs="Times New Roman"/>
          <w:sz w:val="24"/>
          <w:szCs w:val="24"/>
        </w:rPr>
      </w:pPr>
    </w:p>
    <w:p w14:paraId="30D98EBA" w14:textId="2545461F" w:rsidR="00947DBE" w:rsidRPr="00A56158" w:rsidRDefault="00947DBE" w:rsidP="007378C7">
      <w:pPr>
        <w:spacing w:line="480" w:lineRule="auto"/>
        <w:contextualSpacing/>
        <w:rPr>
          <w:rFonts w:ascii="Times New Roman" w:hAnsi="Times New Roman" w:cs="Times New Roman"/>
          <w:sz w:val="24"/>
          <w:szCs w:val="24"/>
        </w:rPr>
      </w:pPr>
    </w:p>
    <w:p w14:paraId="6D9FD0DA" w14:textId="271C20E0" w:rsidR="00947DBE" w:rsidRPr="00A56158" w:rsidRDefault="00947DBE" w:rsidP="007378C7">
      <w:pPr>
        <w:spacing w:line="480" w:lineRule="auto"/>
        <w:contextualSpacing/>
        <w:rPr>
          <w:rFonts w:ascii="Times New Roman" w:hAnsi="Times New Roman" w:cs="Times New Roman"/>
          <w:sz w:val="24"/>
          <w:szCs w:val="24"/>
        </w:rPr>
      </w:pPr>
    </w:p>
    <w:p w14:paraId="1C9D910F" w14:textId="77777777" w:rsidR="0083613E" w:rsidRPr="00A56158" w:rsidRDefault="0083613E" w:rsidP="007378C7">
      <w:pPr>
        <w:spacing w:line="480" w:lineRule="auto"/>
        <w:rPr>
          <w:rFonts w:ascii="Times New Roman" w:hAnsi="Times New Roman" w:cs="Times New Roman"/>
          <w:sz w:val="24"/>
          <w:szCs w:val="24"/>
        </w:rPr>
      </w:pPr>
    </w:p>
    <w:p w14:paraId="0F1D9050" w14:textId="77777777" w:rsidR="0083613E" w:rsidRPr="00A56158" w:rsidRDefault="0083613E" w:rsidP="007378C7">
      <w:pPr>
        <w:spacing w:line="480" w:lineRule="auto"/>
        <w:rPr>
          <w:rFonts w:ascii="Times New Roman" w:hAnsi="Times New Roman" w:cs="Times New Roman"/>
          <w:b/>
          <w:bCs/>
          <w:sz w:val="24"/>
          <w:szCs w:val="24"/>
        </w:rPr>
      </w:pPr>
      <w:r w:rsidRPr="00A56158">
        <w:rPr>
          <w:rFonts w:ascii="Times New Roman" w:hAnsi="Times New Roman" w:cs="Times New Roman"/>
          <w:b/>
          <w:bCs/>
          <w:sz w:val="24"/>
          <w:szCs w:val="24"/>
        </w:rPr>
        <w:lastRenderedPageBreak/>
        <w:t>ETXECUTIVE SUMMARRY</w:t>
      </w:r>
    </w:p>
    <w:p w14:paraId="2D17CB33" w14:textId="77777777" w:rsidR="00C97DB4" w:rsidRPr="00A56158" w:rsidRDefault="0083613E" w:rsidP="007378C7">
      <w:pPr>
        <w:spacing w:line="480" w:lineRule="auto"/>
        <w:rPr>
          <w:rFonts w:ascii="Times New Roman" w:hAnsi="Times New Roman" w:cs="Times New Roman"/>
          <w:sz w:val="24"/>
          <w:szCs w:val="24"/>
        </w:rPr>
      </w:pPr>
      <w:r w:rsidRPr="00A56158">
        <w:rPr>
          <w:rFonts w:ascii="Times New Roman" w:hAnsi="Times New Roman" w:cs="Times New Roman"/>
          <w:sz w:val="24"/>
          <w:szCs w:val="24"/>
        </w:rPr>
        <w:t xml:space="preserve">This report seeks to provide an understanding of the types of derivative contract instruments commercial airlines use to hedge their oil and jet fuel price risk </w:t>
      </w:r>
      <w:r w:rsidR="007378C7" w:rsidRPr="00A56158">
        <w:rPr>
          <w:rFonts w:ascii="Times New Roman" w:hAnsi="Times New Roman" w:cs="Times New Roman"/>
          <w:sz w:val="24"/>
          <w:szCs w:val="24"/>
        </w:rPr>
        <w:t>exposure. The first part provides the overview of the types of derivative contracts Virgin Oz airline entered into with oil supplier(s</w:t>
      </w:r>
      <w:r w:rsidR="00167AD3" w:rsidRPr="00A56158">
        <w:rPr>
          <w:rFonts w:ascii="Times New Roman" w:hAnsi="Times New Roman" w:cs="Times New Roman"/>
          <w:sz w:val="24"/>
          <w:szCs w:val="24"/>
        </w:rPr>
        <w:t>). The</w:t>
      </w:r>
      <w:r w:rsidR="007378C7" w:rsidRPr="00A56158">
        <w:rPr>
          <w:rFonts w:ascii="Times New Roman" w:hAnsi="Times New Roman" w:cs="Times New Roman"/>
          <w:sz w:val="24"/>
          <w:szCs w:val="24"/>
        </w:rPr>
        <w:t xml:space="preserve"> likely </w:t>
      </w:r>
      <w:r w:rsidR="00167AD3" w:rsidRPr="00A56158">
        <w:rPr>
          <w:rFonts w:ascii="Times New Roman" w:hAnsi="Times New Roman" w:cs="Times New Roman"/>
          <w:sz w:val="24"/>
          <w:szCs w:val="24"/>
        </w:rPr>
        <w:t xml:space="preserve">categories of contracts include swaps, futures, and forward contracts. The next part is an investigation of whether the former risk manager applied the future and forward pricing principles correcting when entering into these contracts. The findings indicated, the manager did not apply the pricing principles of future and forward contracts because he did not consider </w:t>
      </w:r>
      <w:r w:rsidR="00B52460" w:rsidRPr="00A56158">
        <w:rPr>
          <w:rFonts w:ascii="Times New Roman" w:hAnsi="Times New Roman" w:cs="Times New Roman"/>
          <w:sz w:val="24"/>
          <w:szCs w:val="24"/>
        </w:rPr>
        <w:t>both prospective test (anticipated future performance) and retrogressive (historical performance). Additionally, other factors such as the outbreak of COVID19 contributed immensely to the decline of jet fuel price per barrel to less than zero (from $60 per barrel to minus $37.63 per barrel)</w:t>
      </w:r>
      <w:r w:rsidR="00C97DB4" w:rsidRPr="00A56158">
        <w:rPr>
          <w:rFonts w:ascii="Times New Roman" w:hAnsi="Times New Roman" w:cs="Times New Roman"/>
          <w:sz w:val="24"/>
          <w:szCs w:val="24"/>
        </w:rPr>
        <w:t xml:space="preserve">. </w:t>
      </w:r>
    </w:p>
    <w:p w14:paraId="68966FE3" w14:textId="41A2E9F2" w:rsidR="0083613E" w:rsidRPr="00A56158" w:rsidRDefault="00C97DB4" w:rsidP="007378C7">
      <w:pPr>
        <w:spacing w:line="480" w:lineRule="auto"/>
        <w:rPr>
          <w:rFonts w:ascii="Times New Roman" w:hAnsi="Times New Roman" w:cs="Times New Roman"/>
          <w:sz w:val="24"/>
          <w:szCs w:val="24"/>
        </w:rPr>
      </w:pPr>
      <w:r w:rsidRPr="00A56158">
        <w:rPr>
          <w:rFonts w:ascii="Times New Roman" w:hAnsi="Times New Roman" w:cs="Times New Roman"/>
          <w:sz w:val="24"/>
          <w:szCs w:val="24"/>
        </w:rPr>
        <w:t xml:space="preserve"> The strategy achievements of the former risk manger’s hedging actions if the appropriate contracts were entered are explored. The likely achievements are: (a) reducing Virgin OZ’s systematic jet fuel or oil price risk; (b) to manage jet fuel risk through a diversification as well as result in increased the organization’s particular investment by various stakeholders. The next part is to ascertain the profit or loss made by Virgin Oz</w:t>
      </w:r>
      <w:r w:rsidR="00E46B60" w:rsidRPr="00A56158">
        <w:rPr>
          <w:rFonts w:ascii="Times New Roman" w:hAnsi="Times New Roman" w:cs="Times New Roman"/>
          <w:sz w:val="24"/>
          <w:szCs w:val="24"/>
        </w:rPr>
        <w:t xml:space="preserve"> to date on contracts. The company made losses because it is required to pay for hedging amount due to reduction in the price of jet fuel and oil as well as the collapse of oil demand in the energy market or sector. The next part describes the new strategy option that Virgin Oz should employ to maximize its position.</w:t>
      </w:r>
      <w:r w:rsidR="0083613E" w:rsidRPr="00A56158">
        <w:rPr>
          <w:rFonts w:ascii="Times New Roman" w:hAnsi="Times New Roman" w:cs="Times New Roman"/>
          <w:sz w:val="24"/>
          <w:szCs w:val="24"/>
        </w:rPr>
        <w:br w:type="page"/>
      </w:r>
    </w:p>
    <w:p w14:paraId="1AF0540F" w14:textId="77777777" w:rsidR="00947DBE" w:rsidRPr="00A56158" w:rsidRDefault="00947DBE" w:rsidP="007378C7">
      <w:pPr>
        <w:spacing w:line="480" w:lineRule="auto"/>
        <w:contextualSpacing/>
        <w:rPr>
          <w:rFonts w:ascii="Times New Roman" w:hAnsi="Times New Roman" w:cs="Times New Roman"/>
          <w:sz w:val="24"/>
          <w:szCs w:val="24"/>
        </w:rPr>
      </w:pPr>
    </w:p>
    <w:p w14:paraId="36B3A782" w14:textId="77777777" w:rsidR="00C32554" w:rsidRPr="00A56158" w:rsidRDefault="005C3720" w:rsidP="007378C7">
      <w:pPr>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t>DERIVATIVES AND RISK MANAGEMENT: A CASE STUDY OF VIRGIN OZ</w:t>
      </w:r>
    </w:p>
    <w:p w14:paraId="0B3BB4C0" w14:textId="684B39D2" w:rsidR="00351FD0" w:rsidRPr="00A56158" w:rsidRDefault="00351FD0" w:rsidP="007378C7">
      <w:pPr>
        <w:pStyle w:val="ListParagraph"/>
        <w:numPr>
          <w:ilvl w:val="0"/>
          <w:numId w:val="14"/>
        </w:numPr>
        <w:spacing w:before="100" w:beforeAutospacing="1" w:after="100" w:afterAutospacing="1" w:line="480" w:lineRule="auto"/>
        <w:rPr>
          <w:rFonts w:ascii="Times New Roman" w:hAnsi="Times New Roman" w:cs="Times New Roman"/>
          <w:b/>
          <w:bCs/>
          <w:sz w:val="24"/>
          <w:szCs w:val="24"/>
        </w:rPr>
      </w:pPr>
      <w:r w:rsidRPr="00A56158">
        <w:rPr>
          <w:rFonts w:ascii="Times New Roman" w:hAnsi="Times New Roman" w:cs="Times New Roman"/>
          <w:b/>
          <w:bCs/>
          <w:sz w:val="24"/>
          <w:szCs w:val="24"/>
        </w:rPr>
        <w:t>The likely number of derivative contracts that my former boss has entered into</w:t>
      </w:r>
    </w:p>
    <w:p w14:paraId="1AC69943" w14:textId="250B3B5E" w:rsidR="00C7774F" w:rsidRPr="00A56158" w:rsidRDefault="00C7774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Derivatives refers to the financial instruments which usually derive their values from various underlying assets like market and commodity indices, interest rates, currencies, bonds, and stocks; for instance, the oil futures contract often derives their value from the oil price -in this case oil is the underlying asset.</w:t>
      </w:r>
    </w:p>
    <w:p w14:paraId="12B21FF2" w14:textId="3566BA79" w:rsidR="00C7774F" w:rsidRPr="00A56158" w:rsidRDefault="00C7774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Derivatives are extensively used in both non-financial and financial organizations</w:t>
      </w:r>
      <w:r w:rsidR="00EB1259" w:rsidRPr="00A56158">
        <w:rPr>
          <w:rFonts w:ascii="Times New Roman" w:hAnsi="Times New Roman" w:cs="Times New Roman"/>
          <w:sz w:val="24"/>
          <w:szCs w:val="24"/>
        </w:rPr>
        <w:t>.</w:t>
      </w:r>
      <w:r w:rsidRPr="00A56158">
        <w:rPr>
          <w:rFonts w:ascii="Times New Roman" w:hAnsi="Times New Roman" w:cs="Times New Roman"/>
          <w:sz w:val="24"/>
          <w:szCs w:val="24"/>
        </w:rPr>
        <w:t xml:space="preserve"> </w:t>
      </w:r>
      <w:r w:rsidR="00EB1259" w:rsidRPr="00A56158">
        <w:rPr>
          <w:rFonts w:ascii="Times New Roman" w:hAnsi="Times New Roman" w:cs="Times New Roman"/>
          <w:sz w:val="24"/>
          <w:szCs w:val="24"/>
        </w:rPr>
        <w:t xml:space="preserve">Forward contracts are the primary derivatives which stemmed from the product market and have opened path for other types of </w:t>
      </w:r>
      <w:r w:rsidR="003917B3" w:rsidRPr="00A56158">
        <w:rPr>
          <w:rFonts w:ascii="Times New Roman" w:hAnsi="Times New Roman" w:cs="Times New Roman"/>
          <w:sz w:val="24"/>
          <w:szCs w:val="24"/>
        </w:rPr>
        <w:t>derivatives</w:t>
      </w:r>
      <w:sdt>
        <w:sdtPr>
          <w:rPr>
            <w:rFonts w:ascii="Times New Roman" w:hAnsi="Times New Roman" w:cs="Times New Roman"/>
            <w:sz w:val="24"/>
            <w:szCs w:val="24"/>
          </w:rPr>
          <w:id w:val="-1222437256"/>
          <w:citation/>
        </w:sdtPr>
        <w:sdtEndPr/>
        <w:sdtContent>
          <w:r w:rsidR="009F7264" w:rsidRPr="00A56158">
            <w:rPr>
              <w:rFonts w:ascii="Times New Roman" w:hAnsi="Times New Roman" w:cs="Times New Roman"/>
              <w:sz w:val="24"/>
              <w:szCs w:val="24"/>
            </w:rPr>
            <w:fldChar w:fldCharType="begin"/>
          </w:r>
          <w:r w:rsidR="009F7264" w:rsidRPr="00A56158">
            <w:rPr>
              <w:rFonts w:ascii="Times New Roman" w:hAnsi="Times New Roman" w:cs="Times New Roman"/>
              <w:sz w:val="24"/>
              <w:szCs w:val="24"/>
              <w:lang w:val="en-GB"/>
            </w:rPr>
            <w:instrText xml:space="preserve"> CITATION Dam12 \l 2057 </w:instrText>
          </w:r>
          <w:r w:rsidR="009F7264" w:rsidRPr="00A56158">
            <w:rPr>
              <w:rFonts w:ascii="Times New Roman" w:hAnsi="Times New Roman" w:cs="Times New Roman"/>
              <w:sz w:val="24"/>
              <w:szCs w:val="24"/>
            </w:rPr>
            <w:fldChar w:fldCharType="separate"/>
          </w:r>
          <w:r w:rsidR="009F7264" w:rsidRPr="00A56158">
            <w:rPr>
              <w:rFonts w:ascii="Times New Roman" w:hAnsi="Times New Roman" w:cs="Times New Roman"/>
              <w:noProof/>
              <w:sz w:val="24"/>
              <w:szCs w:val="24"/>
              <w:lang w:val="en-GB"/>
            </w:rPr>
            <w:t xml:space="preserve"> (Damodaran, 2012)</w:t>
          </w:r>
          <w:r w:rsidR="009F7264" w:rsidRPr="00A56158">
            <w:rPr>
              <w:rFonts w:ascii="Times New Roman" w:hAnsi="Times New Roman" w:cs="Times New Roman"/>
              <w:sz w:val="24"/>
              <w:szCs w:val="24"/>
            </w:rPr>
            <w:fldChar w:fldCharType="end"/>
          </w:r>
        </w:sdtContent>
      </w:sdt>
      <w:r w:rsidR="003917B3" w:rsidRPr="00A56158">
        <w:rPr>
          <w:rFonts w:ascii="Times New Roman" w:hAnsi="Times New Roman" w:cs="Times New Roman"/>
          <w:sz w:val="24"/>
          <w:szCs w:val="24"/>
        </w:rPr>
        <w:t>. Some products traded through derivatives are stock indices, interest rates, foreign currencies, energy goods, agricultural products, precious metals, and base metals</w:t>
      </w:r>
      <w:sdt>
        <w:sdtPr>
          <w:rPr>
            <w:rFonts w:ascii="Times New Roman" w:hAnsi="Times New Roman" w:cs="Times New Roman"/>
            <w:sz w:val="24"/>
            <w:szCs w:val="24"/>
          </w:rPr>
          <w:id w:val="-276256822"/>
          <w:citation/>
        </w:sdtPr>
        <w:sdtEndPr/>
        <w:sdtContent>
          <w:r w:rsidR="009F7264" w:rsidRPr="00A56158">
            <w:rPr>
              <w:rFonts w:ascii="Times New Roman" w:hAnsi="Times New Roman" w:cs="Times New Roman"/>
              <w:sz w:val="24"/>
              <w:szCs w:val="24"/>
            </w:rPr>
            <w:fldChar w:fldCharType="begin"/>
          </w:r>
          <w:r w:rsidR="009F7264" w:rsidRPr="00A56158">
            <w:rPr>
              <w:rFonts w:ascii="Times New Roman" w:hAnsi="Times New Roman" w:cs="Times New Roman"/>
              <w:sz w:val="24"/>
              <w:szCs w:val="24"/>
              <w:lang w:val="en-GB"/>
            </w:rPr>
            <w:instrText xml:space="preserve"> CITATION Dam12 \l 2057 </w:instrText>
          </w:r>
          <w:r w:rsidR="009F7264" w:rsidRPr="00A56158">
            <w:rPr>
              <w:rFonts w:ascii="Times New Roman" w:hAnsi="Times New Roman" w:cs="Times New Roman"/>
              <w:sz w:val="24"/>
              <w:szCs w:val="24"/>
            </w:rPr>
            <w:fldChar w:fldCharType="separate"/>
          </w:r>
          <w:r w:rsidR="009F7264" w:rsidRPr="00A56158">
            <w:rPr>
              <w:rFonts w:ascii="Times New Roman" w:hAnsi="Times New Roman" w:cs="Times New Roman"/>
              <w:noProof/>
              <w:sz w:val="24"/>
              <w:szCs w:val="24"/>
              <w:lang w:val="en-GB"/>
            </w:rPr>
            <w:t xml:space="preserve"> (Damodaran, 2012)</w:t>
          </w:r>
          <w:r w:rsidR="009F7264" w:rsidRPr="00A56158">
            <w:rPr>
              <w:rFonts w:ascii="Times New Roman" w:hAnsi="Times New Roman" w:cs="Times New Roman"/>
              <w:sz w:val="24"/>
              <w:szCs w:val="24"/>
            </w:rPr>
            <w:fldChar w:fldCharType="end"/>
          </w:r>
        </w:sdtContent>
      </w:sdt>
      <w:r w:rsidR="003917B3" w:rsidRPr="00A56158">
        <w:rPr>
          <w:rFonts w:ascii="Times New Roman" w:hAnsi="Times New Roman" w:cs="Times New Roman"/>
          <w:sz w:val="24"/>
          <w:szCs w:val="24"/>
        </w:rPr>
        <w:t>.</w:t>
      </w:r>
    </w:p>
    <w:p w14:paraId="6D66C0B4" w14:textId="71D54A5C" w:rsidR="00974B3A" w:rsidRPr="00A56158" w:rsidRDefault="00974B3A"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Also, derivatives can be different simple insurance contracts and high complex financial instruments which are extremely hard to value as well as valuation of various derivatives is a highly complex </w:t>
      </w:r>
      <w:r w:rsidR="0034265F" w:rsidRPr="00A56158">
        <w:rPr>
          <w:rFonts w:ascii="Times New Roman" w:hAnsi="Times New Roman" w:cs="Times New Roman"/>
          <w:sz w:val="24"/>
          <w:szCs w:val="24"/>
        </w:rPr>
        <w:t>subject</w:t>
      </w:r>
      <w:sdt>
        <w:sdtPr>
          <w:rPr>
            <w:rFonts w:ascii="Times New Roman" w:hAnsi="Times New Roman" w:cs="Times New Roman"/>
            <w:sz w:val="24"/>
            <w:szCs w:val="24"/>
          </w:rPr>
          <w:id w:val="-662233659"/>
          <w:citation/>
        </w:sdtPr>
        <w:sdtEnd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Ber14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(Berghöfer &amp; Lucey, 2014)</w:t>
          </w:r>
          <w:r w:rsidR="00647E4E" w:rsidRPr="00A56158">
            <w:rPr>
              <w:rFonts w:ascii="Times New Roman" w:hAnsi="Times New Roman" w:cs="Times New Roman"/>
              <w:sz w:val="24"/>
              <w:szCs w:val="24"/>
            </w:rPr>
            <w:fldChar w:fldCharType="end"/>
          </w:r>
        </w:sdtContent>
      </w:sdt>
      <w:r w:rsidR="0034265F" w:rsidRPr="00A56158">
        <w:rPr>
          <w:rFonts w:ascii="Times New Roman" w:hAnsi="Times New Roman" w:cs="Times New Roman"/>
          <w:sz w:val="24"/>
          <w:szCs w:val="24"/>
        </w:rPr>
        <w:t>. Derivatives are usually traded both on exchange and over-the-</w:t>
      </w:r>
      <w:r w:rsidR="002964E6" w:rsidRPr="00A56158">
        <w:rPr>
          <w:rFonts w:ascii="Times New Roman" w:hAnsi="Times New Roman" w:cs="Times New Roman"/>
          <w:sz w:val="24"/>
          <w:szCs w:val="24"/>
        </w:rPr>
        <w:t>counter (</w:t>
      </w:r>
      <w:r w:rsidR="0034265F" w:rsidRPr="00A56158">
        <w:rPr>
          <w:rFonts w:ascii="Times New Roman" w:hAnsi="Times New Roman" w:cs="Times New Roman"/>
          <w:sz w:val="24"/>
          <w:szCs w:val="24"/>
        </w:rPr>
        <w:t>OTC</w:t>
      </w:r>
      <w:r w:rsidR="002964E6" w:rsidRPr="00A56158">
        <w:rPr>
          <w:rFonts w:ascii="Times New Roman" w:hAnsi="Times New Roman" w:cs="Times New Roman"/>
          <w:sz w:val="24"/>
          <w:szCs w:val="24"/>
        </w:rPr>
        <w:t>). Exchange -traded derivatives (ETD) are contracts traded on various intermediary exchanges as well as they</w:t>
      </w:r>
      <w:r w:rsidR="00EF3933" w:rsidRPr="00A56158">
        <w:rPr>
          <w:rFonts w:ascii="Times New Roman" w:hAnsi="Times New Roman" w:cs="Times New Roman"/>
          <w:sz w:val="24"/>
          <w:szCs w:val="24"/>
        </w:rPr>
        <w:t xml:space="preserve"> are</w:t>
      </w:r>
      <w:r w:rsidR="002964E6" w:rsidRPr="00A56158">
        <w:rPr>
          <w:rFonts w:ascii="Times New Roman" w:hAnsi="Times New Roman" w:cs="Times New Roman"/>
          <w:sz w:val="24"/>
          <w:szCs w:val="24"/>
        </w:rPr>
        <w:t xml:space="preserve"> many categories of exchanges involved in </w:t>
      </w:r>
      <w:r w:rsidR="009968E5" w:rsidRPr="00A56158">
        <w:rPr>
          <w:rFonts w:ascii="Times New Roman" w:hAnsi="Times New Roman" w:cs="Times New Roman"/>
          <w:sz w:val="24"/>
          <w:szCs w:val="24"/>
        </w:rPr>
        <w:t>these kinds of derivatives</w:t>
      </w:r>
      <w:sdt>
        <w:sdtPr>
          <w:rPr>
            <w:rFonts w:ascii="Times New Roman" w:hAnsi="Times New Roman" w:cs="Times New Roman"/>
            <w:sz w:val="24"/>
            <w:szCs w:val="24"/>
          </w:rPr>
          <w:id w:val="-623004016"/>
          <w:citation/>
        </w:sdtPr>
        <w:sdtEnd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Ber14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(Berghöfer &amp; Lucey, 2014)</w:t>
          </w:r>
          <w:r w:rsidR="005D18AD" w:rsidRPr="00A56158">
            <w:rPr>
              <w:rFonts w:ascii="Times New Roman" w:hAnsi="Times New Roman" w:cs="Times New Roman"/>
              <w:sz w:val="24"/>
              <w:szCs w:val="24"/>
            </w:rPr>
            <w:fldChar w:fldCharType="end"/>
          </w:r>
        </w:sdtContent>
      </w:sdt>
      <w:r w:rsidR="009968E5" w:rsidRPr="00A56158">
        <w:rPr>
          <w:rFonts w:ascii="Times New Roman" w:hAnsi="Times New Roman" w:cs="Times New Roman"/>
          <w:sz w:val="24"/>
          <w:szCs w:val="24"/>
        </w:rPr>
        <w:t xml:space="preserve">. Examples of ETD contracts are put options, call options, and futures. OCT derivative contracts, on the other hand, are privately, directly, negotiated, as well as traded between parties. OCT contracts are highly difficult to regulate because the parties involved avoid market scrutiny as </w:t>
      </w:r>
      <w:r w:rsidR="009968E5" w:rsidRPr="00A56158">
        <w:rPr>
          <w:rFonts w:ascii="Times New Roman" w:hAnsi="Times New Roman" w:cs="Times New Roman"/>
          <w:sz w:val="24"/>
          <w:szCs w:val="24"/>
        </w:rPr>
        <w:lastRenderedPageBreak/>
        <w:t xml:space="preserve">well as they do not pass through exchanges. </w:t>
      </w:r>
      <w:r w:rsidR="00BC3935" w:rsidRPr="00A56158">
        <w:rPr>
          <w:rFonts w:ascii="Times New Roman" w:hAnsi="Times New Roman" w:cs="Times New Roman"/>
          <w:sz w:val="24"/>
          <w:szCs w:val="24"/>
        </w:rPr>
        <w:t>OCT are commonly spot markets, options, forwards, and swaps.</w:t>
      </w:r>
    </w:p>
    <w:p w14:paraId="1DBF5AF3" w14:textId="279172A4" w:rsidR="00BF74FB" w:rsidRPr="00A56158" w:rsidRDefault="00EF3933"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My former boss is likely to have entered </w:t>
      </w:r>
      <w:r w:rsidR="00F23C3C" w:rsidRPr="00A56158">
        <w:rPr>
          <w:rFonts w:ascii="Times New Roman" w:hAnsi="Times New Roman" w:cs="Times New Roman"/>
          <w:sz w:val="24"/>
          <w:szCs w:val="24"/>
        </w:rPr>
        <w:t xml:space="preserve">into financial derivative contracts such </w:t>
      </w:r>
      <w:r w:rsidR="001951B6" w:rsidRPr="00A56158">
        <w:rPr>
          <w:rFonts w:ascii="Times New Roman" w:hAnsi="Times New Roman" w:cs="Times New Roman"/>
          <w:sz w:val="24"/>
          <w:szCs w:val="24"/>
        </w:rPr>
        <w:t>as swaps</w:t>
      </w:r>
      <w:r w:rsidR="00F23C3C" w:rsidRPr="00A56158">
        <w:rPr>
          <w:rFonts w:ascii="Times New Roman" w:hAnsi="Times New Roman" w:cs="Times New Roman"/>
          <w:sz w:val="24"/>
          <w:szCs w:val="24"/>
        </w:rPr>
        <w:t xml:space="preserve">, futures, and forwards. </w:t>
      </w:r>
    </w:p>
    <w:p w14:paraId="4391A744" w14:textId="77777777" w:rsidR="00BF74FB" w:rsidRPr="00A56158" w:rsidRDefault="00BF74FB" w:rsidP="007378C7">
      <w:pPr>
        <w:spacing w:before="100" w:beforeAutospacing="1" w:after="100" w:afterAutospacing="1"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Swaps </w:t>
      </w:r>
    </w:p>
    <w:p w14:paraId="33E9E6D6" w14:textId="0CF5450A" w:rsidR="008F4D64" w:rsidRPr="00A56158" w:rsidRDefault="00BF74FB"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A swap is a derivative contract that describes an agreement between the two involved </w:t>
      </w:r>
      <w:r w:rsidR="00B33A82" w:rsidRPr="00A56158">
        <w:rPr>
          <w:rFonts w:ascii="Times New Roman" w:hAnsi="Times New Roman" w:cs="Times New Roman"/>
          <w:sz w:val="24"/>
          <w:szCs w:val="24"/>
        </w:rPr>
        <w:t xml:space="preserve">organizations to exchange their cash flows at set </w:t>
      </w:r>
      <w:r w:rsidR="004E3D66" w:rsidRPr="00A56158">
        <w:rPr>
          <w:rFonts w:ascii="Times New Roman" w:hAnsi="Times New Roman" w:cs="Times New Roman"/>
          <w:sz w:val="24"/>
          <w:szCs w:val="24"/>
        </w:rPr>
        <w:t>date. In</w:t>
      </w:r>
      <w:r w:rsidR="00B33A82" w:rsidRPr="00A56158">
        <w:rPr>
          <w:rFonts w:ascii="Times New Roman" w:hAnsi="Times New Roman" w:cs="Times New Roman"/>
          <w:sz w:val="24"/>
          <w:szCs w:val="24"/>
        </w:rPr>
        <w:t xml:space="preserve"> this derivative contract one part agrees to pay </w:t>
      </w:r>
      <w:r w:rsidR="004E3D66" w:rsidRPr="00A56158">
        <w:rPr>
          <w:rFonts w:ascii="Times New Roman" w:hAnsi="Times New Roman" w:cs="Times New Roman"/>
          <w:sz w:val="24"/>
          <w:szCs w:val="24"/>
        </w:rPr>
        <w:t>a floating rate while the other party typically pays a fixed rate.</w:t>
      </w:r>
      <w:r w:rsidR="00B33A82" w:rsidRPr="00A56158">
        <w:rPr>
          <w:rFonts w:ascii="Times New Roman" w:hAnsi="Times New Roman" w:cs="Times New Roman"/>
          <w:sz w:val="24"/>
          <w:szCs w:val="24"/>
        </w:rPr>
        <w:t xml:space="preserve"> </w:t>
      </w:r>
      <w:r w:rsidR="00CA0048" w:rsidRPr="00A56158">
        <w:rPr>
          <w:rFonts w:ascii="Times New Roman" w:hAnsi="Times New Roman" w:cs="Times New Roman"/>
          <w:sz w:val="24"/>
          <w:szCs w:val="24"/>
        </w:rPr>
        <w:t xml:space="preserve">Swaps are usually </w:t>
      </w:r>
      <w:r w:rsidR="00130E34" w:rsidRPr="00A56158">
        <w:rPr>
          <w:rFonts w:ascii="Times New Roman" w:hAnsi="Times New Roman" w:cs="Times New Roman"/>
          <w:sz w:val="24"/>
          <w:szCs w:val="24"/>
        </w:rPr>
        <w:t xml:space="preserve">tailor-made future derivative contracts in which an aviation company exchanges payments at a certain date in future based on oil and fuel </w:t>
      </w:r>
      <w:r w:rsidR="005C3F52" w:rsidRPr="00A56158">
        <w:rPr>
          <w:rFonts w:ascii="Times New Roman" w:hAnsi="Times New Roman" w:cs="Times New Roman"/>
          <w:sz w:val="24"/>
          <w:szCs w:val="24"/>
        </w:rPr>
        <w:t>price. This can be arranged with the airline and a supplier like Air BP.</w:t>
      </w:r>
      <w:r w:rsidR="00130E34" w:rsidRPr="00A56158">
        <w:rPr>
          <w:rFonts w:ascii="Times New Roman" w:hAnsi="Times New Roman" w:cs="Times New Roman"/>
          <w:sz w:val="24"/>
          <w:szCs w:val="24"/>
        </w:rPr>
        <w:t xml:space="preserve"> </w:t>
      </w:r>
    </w:p>
    <w:p w14:paraId="38663B7E" w14:textId="4115C55F" w:rsidR="00F441EE" w:rsidRPr="00A56158" w:rsidRDefault="00F441EE"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The airline company like Virgin OZ </w:t>
      </w:r>
      <w:r w:rsidR="00460169" w:rsidRPr="00A56158">
        <w:rPr>
          <w:rFonts w:ascii="Times New Roman" w:hAnsi="Times New Roman" w:cs="Times New Roman"/>
          <w:sz w:val="24"/>
          <w:szCs w:val="24"/>
        </w:rPr>
        <w:t>would purchase for one year for a particular current market price (strike price) for a certain amount of jet oil or fuel per month</w:t>
      </w:r>
      <w:r w:rsidR="00C409B4" w:rsidRPr="00A56158">
        <w:rPr>
          <w:rFonts w:ascii="Times New Roman" w:hAnsi="Times New Roman" w:cs="Times New Roman"/>
          <w:sz w:val="24"/>
          <w:szCs w:val="24"/>
        </w:rPr>
        <w:t>. But it the amount is lower, then the aviation firm should pay the difference.</w:t>
      </w:r>
    </w:p>
    <w:p w14:paraId="7B419A16" w14:textId="5F7D3016" w:rsidR="00405D41" w:rsidRPr="00A56158" w:rsidRDefault="00405D41"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There are several categories of swaps derivative contracts for airlines and other participants in different energy markets across the globe. The most significant kind of swap contract used by many airline companies to hedge their jet fuel exposure is </w:t>
      </w:r>
      <w:r w:rsidRPr="00A56158">
        <w:rPr>
          <w:rFonts w:ascii="Times New Roman" w:hAnsi="Times New Roman" w:cs="Times New Roman"/>
          <w:i/>
          <w:iCs/>
          <w:sz w:val="24"/>
          <w:szCs w:val="24"/>
        </w:rPr>
        <w:t>plain vanilla</w:t>
      </w:r>
      <w:r w:rsidRPr="00A56158">
        <w:rPr>
          <w:rFonts w:ascii="Times New Roman" w:hAnsi="Times New Roman" w:cs="Times New Roman"/>
          <w:sz w:val="24"/>
          <w:szCs w:val="24"/>
        </w:rPr>
        <w:t xml:space="preserve">. Plain vanilla swap is usually a monthly swap in which the floating price of jet fuel or oil (underlying asset) is often exchanged to the fixed price in the future </w:t>
      </w:r>
      <w:r w:rsidR="006C312F" w:rsidRPr="00A56158">
        <w:rPr>
          <w:rFonts w:ascii="Times New Roman" w:hAnsi="Times New Roman" w:cs="Times New Roman"/>
          <w:sz w:val="24"/>
          <w:szCs w:val="24"/>
        </w:rPr>
        <w:t>date</w:t>
      </w:r>
      <w:sdt>
        <w:sdtPr>
          <w:rPr>
            <w:rFonts w:ascii="Times New Roman" w:hAnsi="Times New Roman" w:cs="Times New Roman"/>
            <w:sz w:val="24"/>
            <w:szCs w:val="24"/>
          </w:rPr>
          <w:id w:val="-801769884"/>
          <w:citation/>
        </w:sdtPr>
        <w:sdtEndPr/>
        <w:sdtContent>
          <w:r w:rsidR="00B73468" w:rsidRPr="00A56158">
            <w:rPr>
              <w:rFonts w:ascii="Times New Roman" w:hAnsi="Times New Roman" w:cs="Times New Roman"/>
              <w:sz w:val="24"/>
              <w:szCs w:val="24"/>
            </w:rPr>
            <w:fldChar w:fldCharType="begin"/>
          </w:r>
          <w:r w:rsidR="00B73468" w:rsidRPr="00A56158">
            <w:rPr>
              <w:rFonts w:ascii="Times New Roman" w:hAnsi="Times New Roman" w:cs="Times New Roman"/>
              <w:sz w:val="24"/>
              <w:szCs w:val="24"/>
              <w:lang w:val="en-GB"/>
            </w:rPr>
            <w:instrText xml:space="preserve"> CITATION Ada12 \l 2057 </w:instrText>
          </w:r>
          <w:r w:rsidR="00B73468" w:rsidRPr="00A56158">
            <w:rPr>
              <w:rFonts w:ascii="Times New Roman" w:hAnsi="Times New Roman" w:cs="Times New Roman"/>
              <w:sz w:val="24"/>
              <w:szCs w:val="24"/>
            </w:rPr>
            <w:fldChar w:fldCharType="separate"/>
          </w:r>
          <w:r w:rsidR="00B73468" w:rsidRPr="00A56158">
            <w:rPr>
              <w:rFonts w:ascii="Times New Roman" w:hAnsi="Times New Roman" w:cs="Times New Roman"/>
              <w:noProof/>
              <w:sz w:val="24"/>
              <w:szCs w:val="24"/>
              <w:lang w:val="en-GB"/>
            </w:rPr>
            <w:t xml:space="preserve"> (Zeno &amp; Gerner, 2012)</w:t>
          </w:r>
          <w:r w:rsidR="00B73468" w:rsidRPr="00A56158">
            <w:rPr>
              <w:rFonts w:ascii="Times New Roman" w:hAnsi="Times New Roman" w:cs="Times New Roman"/>
              <w:sz w:val="24"/>
              <w:szCs w:val="24"/>
            </w:rPr>
            <w:fldChar w:fldCharType="end"/>
          </w:r>
        </w:sdtContent>
      </w:sdt>
      <w:r w:rsidR="006C312F" w:rsidRPr="00A56158">
        <w:rPr>
          <w:rFonts w:ascii="Times New Roman" w:hAnsi="Times New Roman" w:cs="Times New Roman"/>
          <w:sz w:val="24"/>
          <w:szCs w:val="24"/>
        </w:rPr>
        <w:t xml:space="preserve">. The second type of swap contract is </w:t>
      </w:r>
      <w:r w:rsidR="006C312F" w:rsidRPr="00A56158">
        <w:rPr>
          <w:rFonts w:ascii="Times New Roman" w:hAnsi="Times New Roman" w:cs="Times New Roman"/>
          <w:i/>
          <w:iCs/>
          <w:sz w:val="24"/>
          <w:szCs w:val="24"/>
        </w:rPr>
        <w:t xml:space="preserve">differential </w:t>
      </w:r>
      <w:r w:rsidR="00476F42" w:rsidRPr="00A56158">
        <w:rPr>
          <w:rFonts w:ascii="Times New Roman" w:hAnsi="Times New Roman" w:cs="Times New Roman"/>
          <w:i/>
          <w:iCs/>
          <w:sz w:val="24"/>
          <w:szCs w:val="24"/>
        </w:rPr>
        <w:t>swap</w:t>
      </w:r>
      <w:sdt>
        <w:sdtPr>
          <w:rPr>
            <w:rFonts w:ascii="Times New Roman" w:hAnsi="Times New Roman" w:cs="Times New Roman"/>
            <w:i/>
            <w:iCs/>
            <w:sz w:val="24"/>
            <w:szCs w:val="24"/>
          </w:rPr>
          <w:id w:val="-735862412"/>
          <w:citation/>
        </w:sdtPr>
        <w:sdtEndPr/>
        <w:sdtContent>
          <w:r w:rsidR="005D18AD" w:rsidRPr="00A56158">
            <w:rPr>
              <w:rFonts w:ascii="Times New Roman" w:hAnsi="Times New Roman" w:cs="Times New Roman"/>
              <w:i/>
              <w:iCs/>
              <w:sz w:val="24"/>
              <w:szCs w:val="24"/>
            </w:rPr>
            <w:fldChar w:fldCharType="begin"/>
          </w:r>
          <w:r w:rsidR="005D18AD" w:rsidRPr="00A56158">
            <w:rPr>
              <w:rFonts w:ascii="Times New Roman" w:hAnsi="Times New Roman" w:cs="Times New Roman"/>
              <w:i/>
              <w:iCs/>
              <w:sz w:val="24"/>
              <w:szCs w:val="24"/>
              <w:lang w:val="en-GB"/>
            </w:rPr>
            <w:instrText xml:space="preserve"> CITATION Ber14 \l 2057 </w:instrText>
          </w:r>
          <w:r w:rsidR="005D18AD" w:rsidRPr="00A56158">
            <w:rPr>
              <w:rFonts w:ascii="Times New Roman" w:hAnsi="Times New Roman" w:cs="Times New Roman"/>
              <w:i/>
              <w:iCs/>
              <w:sz w:val="24"/>
              <w:szCs w:val="24"/>
            </w:rPr>
            <w:fldChar w:fldCharType="separate"/>
          </w:r>
          <w:r w:rsidR="005D18AD" w:rsidRPr="00A56158">
            <w:rPr>
              <w:rFonts w:ascii="Times New Roman" w:hAnsi="Times New Roman" w:cs="Times New Roman"/>
              <w:i/>
              <w:iCs/>
              <w:noProof/>
              <w:sz w:val="24"/>
              <w:szCs w:val="24"/>
              <w:lang w:val="en-GB"/>
            </w:rPr>
            <w:t xml:space="preserve"> </w:t>
          </w:r>
          <w:r w:rsidR="005D18AD" w:rsidRPr="00A56158">
            <w:rPr>
              <w:rFonts w:ascii="Times New Roman" w:hAnsi="Times New Roman" w:cs="Times New Roman"/>
              <w:noProof/>
              <w:sz w:val="24"/>
              <w:szCs w:val="24"/>
              <w:lang w:val="en-GB"/>
            </w:rPr>
            <w:t>(Berghöfer &amp; Lucey, 2014)</w:t>
          </w:r>
          <w:r w:rsidR="005D18AD" w:rsidRPr="00A56158">
            <w:rPr>
              <w:rFonts w:ascii="Times New Roman" w:hAnsi="Times New Roman" w:cs="Times New Roman"/>
              <w:i/>
              <w:iCs/>
              <w:sz w:val="24"/>
              <w:szCs w:val="24"/>
            </w:rPr>
            <w:fldChar w:fldCharType="end"/>
          </w:r>
        </w:sdtContent>
      </w:sdt>
      <w:r w:rsidR="00476F42" w:rsidRPr="00A56158">
        <w:rPr>
          <w:rFonts w:ascii="Times New Roman" w:hAnsi="Times New Roman" w:cs="Times New Roman"/>
          <w:i/>
          <w:iCs/>
          <w:sz w:val="24"/>
          <w:szCs w:val="24"/>
        </w:rPr>
        <w:t>.</w:t>
      </w:r>
      <w:r w:rsidR="00476F42" w:rsidRPr="00A56158">
        <w:rPr>
          <w:rFonts w:ascii="Times New Roman" w:hAnsi="Times New Roman" w:cs="Times New Roman"/>
          <w:sz w:val="24"/>
          <w:szCs w:val="24"/>
        </w:rPr>
        <w:t xml:space="preserve"> Unlike the plain vanilla swap, differential swap is based the difference between the price of the two underlying commodities. Hence, it enables the involved parties to consider exchanging a floating price difference as well as spread, to the fixed price difference. For </w:t>
      </w:r>
      <w:r w:rsidR="00476F42" w:rsidRPr="00A56158">
        <w:rPr>
          <w:rFonts w:ascii="Times New Roman" w:hAnsi="Times New Roman" w:cs="Times New Roman"/>
          <w:sz w:val="24"/>
          <w:szCs w:val="24"/>
        </w:rPr>
        <w:lastRenderedPageBreak/>
        <w:t xml:space="preserve">instance, refining jet fuel margin over crude oil should be hedged by utilizing the differential </w:t>
      </w:r>
      <w:r w:rsidR="004873CA" w:rsidRPr="00A56158">
        <w:rPr>
          <w:rFonts w:ascii="Times New Roman" w:hAnsi="Times New Roman" w:cs="Times New Roman"/>
          <w:sz w:val="24"/>
          <w:szCs w:val="24"/>
        </w:rPr>
        <w:t>swap</w:t>
      </w:r>
      <w:sdt>
        <w:sdtPr>
          <w:rPr>
            <w:rFonts w:ascii="Times New Roman" w:hAnsi="Times New Roman" w:cs="Times New Roman"/>
            <w:sz w:val="24"/>
            <w:szCs w:val="24"/>
          </w:rPr>
          <w:id w:val="-998027781"/>
          <w:citation/>
        </w:sdtPr>
        <w:sdtEnd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Car061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(Carter, et al., 2006)</w:t>
          </w:r>
          <w:r w:rsidR="005D18AD" w:rsidRPr="00A56158">
            <w:rPr>
              <w:rFonts w:ascii="Times New Roman" w:hAnsi="Times New Roman" w:cs="Times New Roman"/>
              <w:sz w:val="24"/>
              <w:szCs w:val="24"/>
            </w:rPr>
            <w:fldChar w:fldCharType="end"/>
          </w:r>
        </w:sdtContent>
      </w:sdt>
      <w:r w:rsidR="004873CA" w:rsidRPr="00A56158">
        <w:rPr>
          <w:rFonts w:ascii="Times New Roman" w:hAnsi="Times New Roman" w:cs="Times New Roman"/>
          <w:sz w:val="24"/>
          <w:szCs w:val="24"/>
        </w:rPr>
        <w:t xml:space="preserve">. The most common differential swap in in energy market is Jet </w:t>
      </w:r>
      <w:r w:rsidR="00CE1542" w:rsidRPr="00A56158">
        <w:rPr>
          <w:rFonts w:ascii="Times New Roman" w:hAnsi="Times New Roman" w:cs="Times New Roman"/>
          <w:sz w:val="24"/>
          <w:szCs w:val="24"/>
        </w:rPr>
        <w:t xml:space="preserve">Kero versus Gasoil (regrade swap). The third type of swap contract is participation swap. Participation swaps </w:t>
      </w:r>
      <w:r w:rsidR="005365FE" w:rsidRPr="00A56158">
        <w:rPr>
          <w:rFonts w:ascii="Times New Roman" w:hAnsi="Times New Roman" w:cs="Times New Roman"/>
          <w:sz w:val="24"/>
          <w:szCs w:val="24"/>
        </w:rPr>
        <w:t>are similar to the plain vanilla swaps, however, in participation swaps the unfavorable price is usually not 100%</w:t>
      </w:r>
      <w:r w:rsidR="00E87A9F" w:rsidRPr="00A56158">
        <w:rPr>
          <w:rFonts w:ascii="Times New Roman" w:hAnsi="Times New Roman" w:cs="Times New Roman"/>
          <w:sz w:val="24"/>
          <w:szCs w:val="24"/>
        </w:rPr>
        <w:t>.</w:t>
      </w:r>
    </w:p>
    <w:p w14:paraId="229F2ABA" w14:textId="7EE667F8" w:rsidR="00F23C3C" w:rsidRPr="00A56158" w:rsidRDefault="00604814" w:rsidP="007378C7">
      <w:pPr>
        <w:spacing w:before="100" w:beforeAutospacing="1" w:after="100" w:afterAutospacing="1" w:line="480" w:lineRule="auto"/>
        <w:contextualSpacing/>
        <w:rPr>
          <w:rFonts w:ascii="Times New Roman" w:hAnsi="Times New Roman" w:cs="Times New Roman"/>
          <w:b/>
          <w:bCs/>
          <w:sz w:val="24"/>
          <w:szCs w:val="24"/>
        </w:rPr>
      </w:pPr>
      <w:r w:rsidRPr="00A56158">
        <w:rPr>
          <w:rFonts w:ascii="Times New Roman" w:hAnsi="Times New Roman" w:cs="Times New Roman"/>
          <w:noProof/>
          <w:sz w:val="24"/>
          <w:szCs w:val="24"/>
        </w:rPr>
        <w:drawing>
          <wp:inline distT="0" distB="0" distL="0" distR="0" wp14:anchorId="682FA33B" wp14:editId="7AD39D93">
            <wp:extent cx="5306400" cy="2606400"/>
            <wp:effectExtent l="0" t="0" r="889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06400" cy="2606400"/>
                    </a:xfrm>
                    <a:prstGeom prst="rect">
                      <a:avLst/>
                    </a:prstGeom>
                  </pic:spPr>
                </pic:pic>
              </a:graphicData>
            </a:graphic>
          </wp:inline>
        </w:drawing>
      </w:r>
    </w:p>
    <w:p w14:paraId="34250375" w14:textId="09D5D526" w:rsidR="00EF3933" w:rsidRPr="00A56158" w:rsidRDefault="00604814"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Figure 1: Fixed price swap derivative contract for oil</w:t>
      </w:r>
      <w:r w:rsidR="00807C18" w:rsidRPr="00A56158">
        <w:rPr>
          <w:rFonts w:ascii="Times New Roman" w:hAnsi="Times New Roman" w:cs="Times New Roman"/>
          <w:sz w:val="24"/>
          <w:szCs w:val="24"/>
        </w:rPr>
        <w:t xml:space="preserve"> or </w:t>
      </w:r>
      <w:r w:rsidRPr="00A56158">
        <w:rPr>
          <w:rFonts w:ascii="Times New Roman" w:hAnsi="Times New Roman" w:cs="Times New Roman"/>
          <w:sz w:val="24"/>
          <w:szCs w:val="24"/>
        </w:rPr>
        <w:t xml:space="preserve">jet fuel exposure </w:t>
      </w:r>
    </w:p>
    <w:p w14:paraId="7CAA2CEC" w14:textId="2B3E37F4" w:rsidR="00947DBE" w:rsidRPr="00A56158" w:rsidRDefault="00E87A9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In figure </w:t>
      </w:r>
      <w:r w:rsidR="00E64E1E" w:rsidRPr="00A56158">
        <w:rPr>
          <w:rFonts w:ascii="Times New Roman" w:hAnsi="Times New Roman" w:cs="Times New Roman"/>
          <w:sz w:val="24"/>
          <w:szCs w:val="24"/>
        </w:rPr>
        <w:t>1,</w:t>
      </w:r>
      <w:r w:rsidR="00E66B21" w:rsidRPr="00A56158">
        <w:rPr>
          <w:rFonts w:ascii="Times New Roman" w:hAnsi="Times New Roman" w:cs="Times New Roman"/>
          <w:sz w:val="24"/>
          <w:szCs w:val="24"/>
        </w:rPr>
        <w:t xml:space="preserve"> the airline firm enters into the swap derivative contract and swaps the floating price of underlying </w:t>
      </w:r>
      <w:r w:rsidR="00E64E1E" w:rsidRPr="00A56158">
        <w:rPr>
          <w:rFonts w:ascii="Times New Roman" w:hAnsi="Times New Roman" w:cs="Times New Roman"/>
          <w:sz w:val="24"/>
          <w:szCs w:val="24"/>
        </w:rPr>
        <w:t>asset (</w:t>
      </w:r>
      <w:r w:rsidR="00E66B21" w:rsidRPr="00A56158">
        <w:rPr>
          <w:rFonts w:ascii="Times New Roman" w:hAnsi="Times New Roman" w:cs="Times New Roman"/>
          <w:sz w:val="24"/>
          <w:szCs w:val="24"/>
        </w:rPr>
        <w:t xml:space="preserve">oil or jet fuel) to the fixed </w:t>
      </w:r>
      <w:r w:rsidR="00E64E1E" w:rsidRPr="00A56158">
        <w:rPr>
          <w:rFonts w:ascii="Times New Roman" w:hAnsi="Times New Roman" w:cs="Times New Roman"/>
          <w:sz w:val="24"/>
          <w:szCs w:val="24"/>
        </w:rPr>
        <w:t>price. On</w:t>
      </w:r>
      <w:r w:rsidR="00E66B21" w:rsidRPr="00A56158">
        <w:rPr>
          <w:rFonts w:ascii="Times New Roman" w:hAnsi="Times New Roman" w:cs="Times New Roman"/>
          <w:sz w:val="24"/>
          <w:szCs w:val="24"/>
        </w:rPr>
        <w:t xml:space="preserve"> the other hand, the counterparty, accepts the fixed price</w:t>
      </w:r>
      <w:r w:rsidR="00E64E1E" w:rsidRPr="00A56158">
        <w:rPr>
          <w:rFonts w:ascii="Times New Roman" w:hAnsi="Times New Roman" w:cs="Times New Roman"/>
          <w:sz w:val="24"/>
          <w:szCs w:val="24"/>
        </w:rPr>
        <w:t xml:space="preserve"> </w:t>
      </w:r>
      <w:r w:rsidR="00F74929" w:rsidRPr="00A56158">
        <w:rPr>
          <w:rFonts w:ascii="Times New Roman" w:hAnsi="Times New Roman" w:cs="Times New Roman"/>
          <w:sz w:val="24"/>
          <w:szCs w:val="24"/>
        </w:rPr>
        <w:t xml:space="preserve">of the underlying asset instead of floating price. </w:t>
      </w:r>
    </w:p>
    <w:p w14:paraId="3E065454" w14:textId="23511C25" w:rsidR="0081613B" w:rsidRPr="00A56158" w:rsidRDefault="0081613B" w:rsidP="007378C7">
      <w:pPr>
        <w:spacing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Forwards </w:t>
      </w:r>
    </w:p>
    <w:p w14:paraId="79B18823" w14:textId="43019FDB" w:rsidR="00663066" w:rsidRPr="00A56158" w:rsidRDefault="00663066"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Forwards are derivative contracts </w:t>
      </w:r>
      <w:r w:rsidR="00A316B7" w:rsidRPr="00A56158">
        <w:rPr>
          <w:rFonts w:ascii="Times New Roman" w:hAnsi="Times New Roman" w:cs="Times New Roman"/>
          <w:sz w:val="24"/>
          <w:szCs w:val="24"/>
        </w:rPr>
        <w:t xml:space="preserve">that are utilized to create the price of an underlying asset for a certain date in future as well as to secure the supply of an </w:t>
      </w:r>
      <w:r w:rsidR="00F76165" w:rsidRPr="00A56158">
        <w:rPr>
          <w:rFonts w:ascii="Times New Roman" w:hAnsi="Times New Roman" w:cs="Times New Roman"/>
          <w:sz w:val="24"/>
          <w:szCs w:val="24"/>
        </w:rPr>
        <w:t>asset. The</w:t>
      </w:r>
      <w:r w:rsidR="00EE674C" w:rsidRPr="00A56158">
        <w:rPr>
          <w:rFonts w:ascii="Times New Roman" w:hAnsi="Times New Roman" w:cs="Times New Roman"/>
          <w:sz w:val="24"/>
          <w:szCs w:val="24"/>
        </w:rPr>
        <w:t xml:space="preserve"> forward contracts are usually tailor-made for the bilateral agreements between </w:t>
      </w:r>
      <w:r w:rsidR="00F76165" w:rsidRPr="00A56158">
        <w:rPr>
          <w:rFonts w:ascii="Times New Roman" w:hAnsi="Times New Roman" w:cs="Times New Roman"/>
          <w:sz w:val="24"/>
          <w:szCs w:val="24"/>
        </w:rPr>
        <w:t>an</w:t>
      </w:r>
      <w:r w:rsidR="00EE674C" w:rsidRPr="00A56158">
        <w:rPr>
          <w:rFonts w:ascii="Times New Roman" w:hAnsi="Times New Roman" w:cs="Times New Roman"/>
          <w:sz w:val="24"/>
          <w:szCs w:val="24"/>
        </w:rPr>
        <w:t xml:space="preserve"> airline firm and the counterparty entering </w:t>
      </w:r>
      <w:r w:rsidR="00807C18" w:rsidRPr="00A56158">
        <w:rPr>
          <w:rFonts w:ascii="Times New Roman" w:hAnsi="Times New Roman" w:cs="Times New Roman"/>
          <w:sz w:val="24"/>
          <w:szCs w:val="24"/>
        </w:rPr>
        <w:t xml:space="preserve">into a </w:t>
      </w:r>
      <w:r w:rsidR="009964DE" w:rsidRPr="00A56158">
        <w:rPr>
          <w:rFonts w:ascii="Times New Roman" w:hAnsi="Times New Roman" w:cs="Times New Roman"/>
          <w:sz w:val="24"/>
          <w:szCs w:val="24"/>
        </w:rPr>
        <w:t>contract</w:t>
      </w:r>
      <w:sdt>
        <w:sdtPr>
          <w:rPr>
            <w:rFonts w:ascii="Times New Roman" w:hAnsi="Times New Roman" w:cs="Times New Roman"/>
            <w:sz w:val="24"/>
            <w:szCs w:val="24"/>
          </w:rPr>
          <w:id w:val="261655177"/>
          <w:citation/>
        </w:sdtPr>
        <w:sdtEnd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Car061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(Carter, et al., 2006)</w:t>
          </w:r>
          <w:r w:rsidR="00647E4E" w:rsidRPr="00A56158">
            <w:rPr>
              <w:rFonts w:ascii="Times New Roman" w:hAnsi="Times New Roman" w:cs="Times New Roman"/>
              <w:sz w:val="24"/>
              <w:szCs w:val="24"/>
            </w:rPr>
            <w:fldChar w:fldCharType="end"/>
          </w:r>
        </w:sdtContent>
      </w:sdt>
      <w:r w:rsidR="009964DE" w:rsidRPr="00A56158">
        <w:rPr>
          <w:rFonts w:ascii="Times New Roman" w:hAnsi="Times New Roman" w:cs="Times New Roman"/>
          <w:sz w:val="24"/>
          <w:szCs w:val="24"/>
        </w:rPr>
        <w:t xml:space="preserve">. The agreement between the counterparty and airline </w:t>
      </w:r>
      <w:r w:rsidR="00F52EC7" w:rsidRPr="00A56158">
        <w:rPr>
          <w:rFonts w:ascii="Times New Roman" w:hAnsi="Times New Roman" w:cs="Times New Roman"/>
          <w:sz w:val="24"/>
          <w:szCs w:val="24"/>
        </w:rPr>
        <w:t xml:space="preserve">specifies the details and terms of the forward derivative contract like </w:t>
      </w:r>
      <w:r w:rsidR="00F52EC7" w:rsidRPr="00A56158">
        <w:rPr>
          <w:rFonts w:ascii="Times New Roman" w:hAnsi="Times New Roman" w:cs="Times New Roman"/>
          <w:sz w:val="24"/>
          <w:szCs w:val="24"/>
        </w:rPr>
        <w:lastRenderedPageBreak/>
        <w:t>the forward price of the commodity paid at maturity, the underlying asset, delivery and receipt terms as well as payment settlement.</w:t>
      </w:r>
    </w:p>
    <w:p w14:paraId="6082F7DB" w14:textId="77777777" w:rsidR="004E1E03" w:rsidRPr="00A56158" w:rsidRDefault="00C961A8" w:rsidP="007378C7">
      <w:pPr>
        <w:pStyle w:val="ListParagraph"/>
        <w:numPr>
          <w:ilvl w:val="0"/>
          <w:numId w:val="14"/>
        </w:numPr>
        <w:spacing w:before="100" w:beforeAutospacing="1" w:after="100" w:afterAutospacing="1" w:line="480" w:lineRule="auto"/>
        <w:ind w:left="0"/>
        <w:rPr>
          <w:rFonts w:ascii="Times New Roman" w:hAnsi="Times New Roman" w:cs="Times New Roman"/>
          <w:b/>
          <w:bCs/>
          <w:sz w:val="24"/>
          <w:szCs w:val="24"/>
        </w:rPr>
      </w:pPr>
      <w:r w:rsidRPr="00A56158">
        <w:rPr>
          <w:rFonts w:ascii="Times New Roman" w:hAnsi="Times New Roman" w:cs="Times New Roman"/>
          <w:b/>
          <w:bCs/>
          <w:sz w:val="24"/>
          <w:szCs w:val="24"/>
        </w:rPr>
        <w:t xml:space="preserve"> Checking the principles of forward and futures pricing have been applied correctly to the value of contracts that my former boss entered into </w:t>
      </w:r>
    </w:p>
    <w:p w14:paraId="6BDE81BC" w14:textId="462F3951" w:rsidR="00C961A8" w:rsidRPr="00A56158" w:rsidRDefault="004E1E03"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Future contract refers to the agreement to sell or </w:t>
      </w:r>
      <w:r w:rsidR="000538E3" w:rsidRPr="00A56158">
        <w:rPr>
          <w:rFonts w:ascii="Times New Roman" w:hAnsi="Times New Roman" w:cs="Times New Roman"/>
          <w:sz w:val="24"/>
          <w:szCs w:val="24"/>
        </w:rPr>
        <w:t>purchase specified</w:t>
      </w:r>
      <w:r w:rsidRPr="00A56158">
        <w:rPr>
          <w:rFonts w:ascii="Times New Roman" w:hAnsi="Times New Roman" w:cs="Times New Roman"/>
          <w:sz w:val="24"/>
          <w:szCs w:val="24"/>
        </w:rPr>
        <w:t xml:space="preserve"> quality and quantity of underlying asset for a particular price in the future </w:t>
      </w:r>
      <w:r w:rsidR="000538E3" w:rsidRPr="00A56158">
        <w:rPr>
          <w:rFonts w:ascii="Times New Roman" w:hAnsi="Times New Roman" w:cs="Times New Roman"/>
          <w:sz w:val="24"/>
          <w:szCs w:val="24"/>
        </w:rPr>
        <w:t>date.</w:t>
      </w:r>
      <w:sdt>
        <w:sdtPr>
          <w:rPr>
            <w:rFonts w:ascii="Times New Roman" w:hAnsi="Times New Roman" w:cs="Times New Roman"/>
            <w:sz w:val="24"/>
            <w:szCs w:val="24"/>
          </w:rPr>
          <w:id w:val="618736708"/>
          <w:citation/>
        </w:sdtPr>
        <w:sdtEnd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Car061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(Carter, et al., 2006)</w:t>
          </w:r>
          <w:r w:rsidR="00647E4E" w:rsidRPr="00A56158">
            <w:rPr>
              <w:rFonts w:ascii="Times New Roman" w:hAnsi="Times New Roman" w:cs="Times New Roman"/>
              <w:sz w:val="24"/>
              <w:szCs w:val="24"/>
            </w:rPr>
            <w:fldChar w:fldCharType="end"/>
          </w:r>
        </w:sdtContent>
      </w:sdt>
      <w:r w:rsidR="000538E3" w:rsidRPr="00A56158">
        <w:rPr>
          <w:rFonts w:ascii="Times New Roman" w:hAnsi="Times New Roman" w:cs="Times New Roman"/>
          <w:sz w:val="24"/>
          <w:szCs w:val="24"/>
        </w:rPr>
        <w:t xml:space="preserve"> The</w:t>
      </w:r>
      <w:r w:rsidRPr="00A56158">
        <w:rPr>
          <w:rFonts w:ascii="Times New Roman" w:hAnsi="Times New Roman" w:cs="Times New Roman"/>
          <w:sz w:val="24"/>
          <w:szCs w:val="24"/>
        </w:rPr>
        <w:t xml:space="preserve"> airline firm (buyer) usually has a long </w:t>
      </w:r>
      <w:r w:rsidR="000538E3" w:rsidRPr="00A56158">
        <w:rPr>
          <w:rFonts w:ascii="Times New Roman" w:hAnsi="Times New Roman" w:cs="Times New Roman"/>
          <w:sz w:val="24"/>
          <w:szCs w:val="24"/>
        </w:rPr>
        <w:t>position,</w:t>
      </w:r>
      <w:r w:rsidRPr="00A56158">
        <w:rPr>
          <w:rFonts w:ascii="Times New Roman" w:hAnsi="Times New Roman" w:cs="Times New Roman"/>
          <w:sz w:val="24"/>
          <w:szCs w:val="24"/>
        </w:rPr>
        <w:t xml:space="preserve"> implying </w:t>
      </w:r>
      <w:r w:rsidR="000538E3" w:rsidRPr="00A56158">
        <w:rPr>
          <w:rFonts w:ascii="Times New Roman" w:hAnsi="Times New Roman" w:cs="Times New Roman"/>
          <w:sz w:val="24"/>
          <w:szCs w:val="24"/>
        </w:rPr>
        <w:t>that it agrees to make a given level of delivery of the underlying commodity</w:t>
      </w:r>
      <w:r w:rsidR="009B2074" w:rsidRPr="00A56158">
        <w:rPr>
          <w:rFonts w:ascii="Times New Roman" w:hAnsi="Times New Roman" w:cs="Times New Roman"/>
          <w:sz w:val="24"/>
          <w:szCs w:val="24"/>
        </w:rPr>
        <w:t>. On the other hand, the counterparty(seller) has the short position, indicting that he or she accepts to deliver the underlying asset.</w:t>
      </w:r>
    </w:p>
    <w:p w14:paraId="6D7FB95B" w14:textId="721BBAE4" w:rsidR="009B2074" w:rsidRPr="00A56158" w:rsidRDefault="009B2074"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Future contracts are usually traded on the exchange, in which standards terms such as delivery, quality and quantity are specified and highlighted for the contracts and guarantees counterparty risk </w:t>
      </w:r>
      <w:r w:rsidR="00E33C8A" w:rsidRPr="00A56158">
        <w:rPr>
          <w:rFonts w:ascii="Times New Roman" w:hAnsi="Times New Roman" w:cs="Times New Roman"/>
          <w:sz w:val="24"/>
          <w:szCs w:val="24"/>
        </w:rPr>
        <w:t>removal</w:t>
      </w:r>
      <w:sdt>
        <w:sdtPr>
          <w:rPr>
            <w:rFonts w:ascii="Times New Roman" w:hAnsi="Times New Roman" w:cs="Times New Roman"/>
            <w:sz w:val="24"/>
            <w:szCs w:val="24"/>
          </w:rPr>
          <w:id w:val="-357424898"/>
          <w:citation/>
        </w:sdtPr>
        <w:sdtEnd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Dam12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(Damodaran, 2012)</w:t>
          </w:r>
          <w:r w:rsidR="00647E4E" w:rsidRPr="00A56158">
            <w:rPr>
              <w:rFonts w:ascii="Times New Roman" w:hAnsi="Times New Roman" w:cs="Times New Roman"/>
              <w:sz w:val="24"/>
              <w:szCs w:val="24"/>
            </w:rPr>
            <w:fldChar w:fldCharType="end"/>
          </w:r>
        </w:sdtContent>
      </w:sdt>
      <w:r w:rsidR="00E33C8A" w:rsidRPr="00A56158">
        <w:rPr>
          <w:rFonts w:ascii="Times New Roman" w:hAnsi="Times New Roman" w:cs="Times New Roman"/>
          <w:sz w:val="24"/>
          <w:szCs w:val="24"/>
        </w:rPr>
        <w:t>. However, less than 1% of the future contracts traded in the energy market result in underlying commodity delivery. Instead the future contracts sellers and buyers typically offset their position.</w:t>
      </w:r>
    </w:p>
    <w:p w14:paraId="106D01A5" w14:textId="794CF7E3" w:rsidR="0012785A" w:rsidRPr="00A56158" w:rsidRDefault="0012785A"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noProof/>
          <w:sz w:val="24"/>
          <w:szCs w:val="24"/>
        </w:rPr>
        <w:drawing>
          <wp:inline distT="0" distB="0" distL="0" distR="0" wp14:anchorId="18CEB15C" wp14:editId="12338D7A">
            <wp:extent cx="4078800" cy="27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78800" cy="2728800"/>
                    </a:xfrm>
                    <a:prstGeom prst="rect">
                      <a:avLst/>
                    </a:prstGeom>
                  </pic:spPr>
                </pic:pic>
              </a:graphicData>
            </a:graphic>
          </wp:inline>
        </w:drawing>
      </w:r>
    </w:p>
    <w:p w14:paraId="1B38A82C" w14:textId="14D47FE0" w:rsidR="0012785A" w:rsidRPr="00A56158" w:rsidRDefault="0012785A" w:rsidP="007378C7">
      <w:pPr>
        <w:spacing w:before="100" w:beforeAutospacing="1" w:after="100" w:afterAutospacing="1" w:line="480" w:lineRule="auto"/>
        <w:ind w:left="284" w:firstLine="720"/>
        <w:contextualSpacing/>
        <w:jc w:val="center"/>
        <w:rPr>
          <w:rFonts w:ascii="Times New Roman" w:hAnsi="Times New Roman" w:cs="Times New Roman"/>
          <w:sz w:val="24"/>
          <w:szCs w:val="24"/>
        </w:rPr>
      </w:pPr>
      <w:r w:rsidRPr="00A56158">
        <w:rPr>
          <w:rFonts w:ascii="Times New Roman" w:hAnsi="Times New Roman" w:cs="Times New Roman"/>
          <w:sz w:val="24"/>
          <w:szCs w:val="24"/>
        </w:rPr>
        <w:lastRenderedPageBreak/>
        <w:t>Figure 2: Futures prices</w:t>
      </w:r>
    </w:p>
    <w:p w14:paraId="213E23BD" w14:textId="0E7B18E3" w:rsidR="00574AB5" w:rsidRPr="00A56158" w:rsidRDefault="007D7E88"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A forward contract is similar to the future derivative contracts expect for the following distinctions: (a) forward contracts are only settled on maturity, whereas future contracts are usually marked to the energy market daily (in the case of oil or jet fuel futures)</w:t>
      </w:r>
      <w:r w:rsidR="006B1F5F" w:rsidRPr="00A56158">
        <w:rPr>
          <w:rFonts w:ascii="Times New Roman" w:hAnsi="Times New Roman" w:cs="Times New Roman"/>
          <w:sz w:val="24"/>
          <w:szCs w:val="24"/>
        </w:rPr>
        <w:t>; and (b) forward contracts are generally customized as well as not traded on the exchange, whereas future contracts are usually standardized as well as traded on properly organized exchanges</w:t>
      </w:r>
      <w:sdt>
        <w:sdtPr>
          <w:rPr>
            <w:rFonts w:ascii="Times New Roman" w:hAnsi="Times New Roman" w:cs="Times New Roman"/>
            <w:sz w:val="24"/>
            <w:szCs w:val="24"/>
          </w:rPr>
          <w:id w:val="-93781565"/>
          <w:citation/>
        </w:sdtPr>
        <w:sdtEndPr/>
        <w:sdtContent>
          <w:r w:rsidR="00647E4E" w:rsidRPr="00A56158">
            <w:rPr>
              <w:rFonts w:ascii="Times New Roman" w:hAnsi="Times New Roman" w:cs="Times New Roman"/>
              <w:sz w:val="24"/>
              <w:szCs w:val="24"/>
            </w:rPr>
            <w:fldChar w:fldCharType="begin"/>
          </w:r>
          <w:r w:rsidR="00647E4E" w:rsidRPr="00A56158">
            <w:rPr>
              <w:rFonts w:ascii="Times New Roman" w:hAnsi="Times New Roman" w:cs="Times New Roman"/>
              <w:sz w:val="24"/>
              <w:szCs w:val="24"/>
              <w:lang w:val="en-GB"/>
            </w:rPr>
            <w:instrText xml:space="preserve"> CITATION Car061 \l 2057 </w:instrText>
          </w:r>
          <w:r w:rsidR="00647E4E" w:rsidRPr="00A56158">
            <w:rPr>
              <w:rFonts w:ascii="Times New Roman" w:hAnsi="Times New Roman" w:cs="Times New Roman"/>
              <w:sz w:val="24"/>
              <w:szCs w:val="24"/>
            </w:rPr>
            <w:fldChar w:fldCharType="separate"/>
          </w:r>
          <w:r w:rsidR="00647E4E" w:rsidRPr="00A56158">
            <w:rPr>
              <w:rFonts w:ascii="Times New Roman" w:hAnsi="Times New Roman" w:cs="Times New Roman"/>
              <w:noProof/>
              <w:sz w:val="24"/>
              <w:szCs w:val="24"/>
              <w:lang w:val="en-GB"/>
            </w:rPr>
            <w:t xml:space="preserve"> (Carter, et al., 2006)</w:t>
          </w:r>
          <w:r w:rsidR="00647E4E" w:rsidRPr="00A56158">
            <w:rPr>
              <w:rFonts w:ascii="Times New Roman" w:hAnsi="Times New Roman" w:cs="Times New Roman"/>
              <w:sz w:val="24"/>
              <w:szCs w:val="24"/>
            </w:rPr>
            <w:fldChar w:fldCharType="end"/>
          </w:r>
        </w:sdtContent>
      </w:sdt>
      <w:r w:rsidR="006B1F5F" w:rsidRPr="00A56158">
        <w:rPr>
          <w:rFonts w:ascii="Times New Roman" w:hAnsi="Times New Roman" w:cs="Times New Roman"/>
          <w:sz w:val="24"/>
          <w:szCs w:val="24"/>
        </w:rPr>
        <w:t>. Therefore, if Virgin Oz uses future contracts, it means that every daily during the life of the future contract, there must be cash settlement daily depending on the strike price of the underlying asset being hedged</w:t>
      </w:r>
      <w:r w:rsidR="00574AB5" w:rsidRPr="00A56158">
        <w:rPr>
          <w:rFonts w:ascii="Times New Roman" w:hAnsi="Times New Roman" w:cs="Times New Roman"/>
          <w:sz w:val="24"/>
          <w:szCs w:val="24"/>
        </w:rPr>
        <w:t>.</w:t>
      </w:r>
    </w:p>
    <w:p w14:paraId="238E1EDF" w14:textId="0F0EA61C" w:rsidR="007D7E88" w:rsidRPr="00A56158" w:rsidRDefault="00574AB5"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 </w:t>
      </w:r>
      <w:r w:rsidR="00FB39D0" w:rsidRPr="00A56158">
        <w:rPr>
          <w:rFonts w:ascii="Times New Roman" w:hAnsi="Times New Roman" w:cs="Times New Roman"/>
          <w:sz w:val="24"/>
          <w:szCs w:val="24"/>
        </w:rPr>
        <w:t xml:space="preserve">Therefore, my former </w:t>
      </w:r>
      <w:r w:rsidRPr="00A56158">
        <w:rPr>
          <w:rFonts w:ascii="Times New Roman" w:hAnsi="Times New Roman" w:cs="Times New Roman"/>
          <w:sz w:val="24"/>
          <w:szCs w:val="24"/>
        </w:rPr>
        <w:t xml:space="preserve">boss applied the forward and futures pricing principles </w:t>
      </w:r>
      <w:r w:rsidR="00C574DB" w:rsidRPr="00A56158">
        <w:rPr>
          <w:rFonts w:ascii="Times New Roman" w:hAnsi="Times New Roman" w:cs="Times New Roman"/>
          <w:sz w:val="24"/>
          <w:szCs w:val="24"/>
        </w:rPr>
        <w:t>in</w:t>
      </w:r>
      <w:r w:rsidRPr="00A56158">
        <w:rPr>
          <w:rFonts w:ascii="Times New Roman" w:hAnsi="Times New Roman" w:cs="Times New Roman"/>
          <w:sz w:val="24"/>
          <w:szCs w:val="24"/>
        </w:rPr>
        <w:t xml:space="preserve">correctly to hedge jet fuel or oil </w:t>
      </w:r>
      <w:r w:rsidR="00FB39D0" w:rsidRPr="00A56158">
        <w:rPr>
          <w:rFonts w:ascii="Times New Roman" w:hAnsi="Times New Roman" w:cs="Times New Roman"/>
          <w:sz w:val="24"/>
          <w:szCs w:val="24"/>
        </w:rPr>
        <w:t xml:space="preserve">price because </w:t>
      </w:r>
      <w:bookmarkStart w:id="0" w:name="_Hlk41581272"/>
      <w:r w:rsidRPr="00A56158">
        <w:rPr>
          <w:rFonts w:ascii="Times New Roman" w:hAnsi="Times New Roman" w:cs="Times New Roman"/>
          <w:sz w:val="24"/>
          <w:szCs w:val="24"/>
        </w:rPr>
        <w:t xml:space="preserve">both prospective test (anticipated future performance) and retrogressive (historical performance) </w:t>
      </w:r>
      <w:bookmarkEnd w:id="0"/>
      <w:r w:rsidRPr="00A56158">
        <w:rPr>
          <w:rFonts w:ascii="Times New Roman" w:hAnsi="Times New Roman" w:cs="Times New Roman"/>
          <w:sz w:val="24"/>
          <w:szCs w:val="24"/>
        </w:rPr>
        <w:t>were</w:t>
      </w:r>
      <w:r w:rsidR="00C574DB" w:rsidRPr="00A56158">
        <w:rPr>
          <w:rFonts w:ascii="Times New Roman" w:hAnsi="Times New Roman" w:cs="Times New Roman"/>
          <w:sz w:val="24"/>
          <w:szCs w:val="24"/>
        </w:rPr>
        <w:t xml:space="preserve"> not</w:t>
      </w:r>
      <w:r w:rsidRPr="00A56158">
        <w:rPr>
          <w:rFonts w:ascii="Times New Roman" w:hAnsi="Times New Roman" w:cs="Times New Roman"/>
          <w:sz w:val="24"/>
          <w:szCs w:val="24"/>
        </w:rPr>
        <w:t xml:space="preserve"> taken into account</w:t>
      </w:r>
      <w:r w:rsidR="0012785A" w:rsidRPr="00A56158">
        <w:rPr>
          <w:rFonts w:ascii="Times New Roman" w:hAnsi="Times New Roman" w:cs="Times New Roman"/>
          <w:sz w:val="24"/>
          <w:szCs w:val="24"/>
        </w:rPr>
        <w:t>.</w:t>
      </w:r>
      <w:r w:rsidR="00FB39D0" w:rsidRPr="00A56158">
        <w:rPr>
          <w:rFonts w:ascii="Times New Roman" w:hAnsi="Times New Roman" w:cs="Times New Roman"/>
          <w:sz w:val="24"/>
          <w:szCs w:val="24"/>
        </w:rPr>
        <w:t xml:space="preserve"> </w:t>
      </w:r>
      <w:r w:rsidR="00BC42C0" w:rsidRPr="00A56158">
        <w:rPr>
          <w:rFonts w:ascii="Times New Roman" w:hAnsi="Times New Roman" w:cs="Times New Roman"/>
          <w:sz w:val="24"/>
          <w:szCs w:val="24"/>
        </w:rPr>
        <w:t>However, due</w:t>
      </w:r>
      <w:r w:rsidR="00FB39D0" w:rsidRPr="00A56158">
        <w:rPr>
          <w:rFonts w:ascii="Times New Roman" w:hAnsi="Times New Roman" w:cs="Times New Roman"/>
          <w:sz w:val="24"/>
          <w:szCs w:val="24"/>
        </w:rPr>
        <w:t xml:space="preserve"> to unexpected </w:t>
      </w:r>
      <w:r w:rsidR="00BC42C0" w:rsidRPr="00A56158">
        <w:rPr>
          <w:rFonts w:ascii="Times New Roman" w:hAnsi="Times New Roman" w:cs="Times New Roman"/>
          <w:sz w:val="24"/>
          <w:szCs w:val="24"/>
        </w:rPr>
        <w:t>factor</w:t>
      </w:r>
      <w:r w:rsidR="00561DA0" w:rsidRPr="00A56158">
        <w:rPr>
          <w:rFonts w:ascii="Times New Roman" w:hAnsi="Times New Roman" w:cs="Times New Roman"/>
          <w:sz w:val="24"/>
          <w:szCs w:val="24"/>
        </w:rPr>
        <w:t>s</w:t>
      </w:r>
      <w:r w:rsidR="00BC42C0" w:rsidRPr="00A56158">
        <w:rPr>
          <w:rFonts w:ascii="Times New Roman" w:hAnsi="Times New Roman" w:cs="Times New Roman"/>
          <w:sz w:val="24"/>
          <w:szCs w:val="24"/>
        </w:rPr>
        <w:t xml:space="preserve"> such as Coronavirus pandemic (COVID 19) </w:t>
      </w:r>
      <w:r w:rsidR="00701573" w:rsidRPr="00A56158">
        <w:rPr>
          <w:rFonts w:ascii="Times New Roman" w:hAnsi="Times New Roman" w:cs="Times New Roman"/>
          <w:sz w:val="24"/>
          <w:szCs w:val="24"/>
        </w:rPr>
        <w:t xml:space="preserve">outbreak which has extensively decreased the demand for oil </w:t>
      </w:r>
      <w:r w:rsidR="005E7024" w:rsidRPr="00A56158">
        <w:rPr>
          <w:rFonts w:ascii="Times New Roman" w:hAnsi="Times New Roman" w:cs="Times New Roman"/>
          <w:sz w:val="24"/>
          <w:szCs w:val="24"/>
        </w:rPr>
        <w:t>and the oil or jet fuel prices have plunged below zero</w:t>
      </w:r>
      <w:r w:rsidR="00701573" w:rsidRPr="00A56158">
        <w:rPr>
          <w:rFonts w:ascii="Times New Roman" w:hAnsi="Times New Roman" w:cs="Times New Roman"/>
          <w:sz w:val="24"/>
          <w:szCs w:val="24"/>
        </w:rPr>
        <w:t xml:space="preserve"> </w:t>
      </w:r>
      <w:r w:rsidR="005E7024" w:rsidRPr="00A56158">
        <w:rPr>
          <w:rFonts w:ascii="Times New Roman" w:hAnsi="Times New Roman" w:cs="Times New Roman"/>
          <w:sz w:val="24"/>
          <w:szCs w:val="24"/>
        </w:rPr>
        <w:t xml:space="preserve">as well as </w:t>
      </w:r>
      <w:r w:rsidR="00701573" w:rsidRPr="00A56158">
        <w:rPr>
          <w:rFonts w:ascii="Times New Roman" w:hAnsi="Times New Roman" w:cs="Times New Roman"/>
          <w:sz w:val="24"/>
          <w:szCs w:val="24"/>
        </w:rPr>
        <w:t xml:space="preserve">the glut of oil supplies has </w:t>
      </w:r>
      <w:r w:rsidR="005E7024" w:rsidRPr="00A56158">
        <w:rPr>
          <w:rFonts w:ascii="Times New Roman" w:hAnsi="Times New Roman" w:cs="Times New Roman"/>
          <w:sz w:val="24"/>
          <w:szCs w:val="24"/>
        </w:rPr>
        <w:t>overwhelmed the world oil storage capacities. By the beginning of the year the price of oil per barrel was approximately $60</w:t>
      </w:r>
      <w:r w:rsidR="00402095" w:rsidRPr="00A56158">
        <w:rPr>
          <w:rFonts w:ascii="Times New Roman" w:hAnsi="Times New Roman" w:cs="Times New Roman"/>
          <w:sz w:val="24"/>
          <w:szCs w:val="24"/>
        </w:rPr>
        <w:t xml:space="preserve"> and our compan</w:t>
      </w:r>
      <w:r w:rsidR="00561DA0" w:rsidRPr="00A56158">
        <w:rPr>
          <w:rFonts w:ascii="Times New Roman" w:hAnsi="Times New Roman" w:cs="Times New Roman"/>
          <w:sz w:val="24"/>
          <w:szCs w:val="24"/>
        </w:rPr>
        <w:t>y’s</w:t>
      </w:r>
      <w:r w:rsidR="00402095" w:rsidRPr="00A56158">
        <w:rPr>
          <w:rFonts w:ascii="Times New Roman" w:hAnsi="Times New Roman" w:cs="Times New Roman"/>
          <w:sz w:val="24"/>
          <w:szCs w:val="24"/>
        </w:rPr>
        <w:t xml:space="preserve"> oil </w:t>
      </w:r>
      <w:r w:rsidR="00561DA0" w:rsidRPr="00A56158">
        <w:rPr>
          <w:rFonts w:ascii="Times New Roman" w:hAnsi="Times New Roman" w:cs="Times New Roman"/>
          <w:sz w:val="24"/>
          <w:szCs w:val="24"/>
        </w:rPr>
        <w:t xml:space="preserve">may </w:t>
      </w:r>
      <w:r w:rsidR="00402095" w:rsidRPr="00A56158">
        <w:rPr>
          <w:rFonts w:ascii="Times New Roman" w:hAnsi="Times New Roman" w:cs="Times New Roman"/>
          <w:sz w:val="24"/>
          <w:szCs w:val="24"/>
        </w:rPr>
        <w:t>futures is below zero (negative $37.63 per barrel).</w:t>
      </w:r>
      <w:r w:rsidR="00561DA0" w:rsidRPr="00A56158">
        <w:rPr>
          <w:rFonts w:ascii="Times New Roman" w:hAnsi="Times New Roman" w:cs="Times New Roman"/>
          <w:sz w:val="24"/>
          <w:szCs w:val="24"/>
        </w:rPr>
        <w:t xml:space="preserve">Additionally, </w:t>
      </w:r>
      <w:r w:rsidR="00B17380" w:rsidRPr="00A56158">
        <w:rPr>
          <w:rFonts w:ascii="Times New Roman" w:hAnsi="Times New Roman" w:cs="Times New Roman"/>
          <w:sz w:val="24"/>
          <w:szCs w:val="24"/>
        </w:rPr>
        <w:t>imposition of lockdown ,and cancellation of flights across the world as a move to control the spread of Coronavirus has resulted in a reduced demand for jet fuel.</w:t>
      </w:r>
    </w:p>
    <w:p w14:paraId="5C9CFBCD" w14:textId="11B06F82" w:rsidR="00313E43" w:rsidRPr="00A56158" w:rsidRDefault="00313E43"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Therefore, while the May oil future contract was used by my former boss to hedge the position of Virgin OZ’s jet fuel and oil price changes it is evident that the contract provided an expense to the airline and a gain the oil </w:t>
      </w:r>
      <w:r w:rsidR="007D7A50" w:rsidRPr="00A56158">
        <w:rPr>
          <w:rFonts w:ascii="Times New Roman" w:hAnsi="Times New Roman" w:cs="Times New Roman"/>
          <w:sz w:val="24"/>
          <w:szCs w:val="24"/>
        </w:rPr>
        <w:t>supplier. If the price of jet fuel or oil (underlying commodity) had</w:t>
      </w:r>
      <w:r w:rsidRPr="00A56158">
        <w:rPr>
          <w:rFonts w:ascii="Times New Roman" w:hAnsi="Times New Roman" w:cs="Times New Roman"/>
          <w:sz w:val="24"/>
          <w:szCs w:val="24"/>
        </w:rPr>
        <w:t xml:space="preserve"> </w:t>
      </w:r>
      <w:r w:rsidR="007D7A50" w:rsidRPr="00A56158">
        <w:rPr>
          <w:rFonts w:ascii="Times New Roman" w:hAnsi="Times New Roman" w:cs="Times New Roman"/>
          <w:sz w:val="24"/>
          <w:szCs w:val="24"/>
        </w:rPr>
        <w:t xml:space="preserve">increased after the agreement is made, Virgin OZ would have gained at the </w:t>
      </w:r>
      <w:r w:rsidR="007D7A50" w:rsidRPr="00A56158">
        <w:rPr>
          <w:rFonts w:ascii="Times New Roman" w:hAnsi="Times New Roman" w:cs="Times New Roman"/>
          <w:sz w:val="24"/>
          <w:szCs w:val="24"/>
        </w:rPr>
        <w:lastRenderedPageBreak/>
        <w:t>expense of the oil supplier(seller).However, the price of oil decreased from approximately $60 per barrel to negative $37.63 per barrel , making the oil suppliers to gain at the expense of Virgin OZ(buyer).</w:t>
      </w:r>
    </w:p>
    <w:p w14:paraId="4E0CC513" w14:textId="4F05F46C" w:rsidR="00947DBE" w:rsidRPr="00A56158" w:rsidRDefault="00B20336" w:rsidP="007378C7">
      <w:pPr>
        <w:pStyle w:val="ListParagraph"/>
        <w:numPr>
          <w:ilvl w:val="0"/>
          <w:numId w:val="14"/>
        </w:numPr>
        <w:spacing w:line="480" w:lineRule="auto"/>
        <w:rPr>
          <w:rFonts w:ascii="Times New Roman" w:hAnsi="Times New Roman" w:cs="Times New Roman"/>
          <w:b/>
          <w:bCs/>
          <w:sz w:val="24"/>
          <w:szCs w:val="24"/>
        </w:rPr>
      </w:pPr>
      <w:r w:rsidRPr="00A56158">
        <w:rPr>
          <w:rFonts w:ascii="Times New Roman" w:eastAsia="Calibri" w:hAnsi="Times New Roman" w:cs="Times New Roman"/>
          <w:b/>
          <w:bCs/>
          <w:sz w:val="24"/>
          <w:szCs w:val="24"/>
        </w:rPr>
        <w:t>Strategy that your boss has attempted to achieve in his hedging actions</w:t>
      </w:r>
    </w:p>
    <w:p w14:paraId="327EB2EB" w14:textId="3DD01653" w:rsidR="00F8255E" w:rsidRPr="00A56158" w:rsidRDefault="00F8255E"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b/>
          <w:bCs/>
          <w:sz w:val="24"/>
          <w:szCs w:val="24"/>
        </w:rPr>
        <w:t xml:space="preserve"> </w:t>
      </w:r>
      <w:r w:rsidRPr="00A56158">
        <w:rPr>
          <w:rFonts w:ascii="Times New Roman" w:hAnsi="Times New Roman" w:cs="Times New Roman"/>
          <w:sz w:val="24"/>
          <w:szCs w:val="24"/>
        </w:rPr>
        <w:t xml:space="preserve">My former boss used swaps, forwards and futures to hedge’s the airline’s jet fuel risk. As the underlying instrument the former risk manager used jet differential, gas oil, and jet fuel </w:t>
      </w:r>
      <w:r w:rsidR="00B40214" w:rsidRPr="00A56158">
        <w:rPr>
          <w:rFonts w:ascii="Times New Roman" w:hAnsi="Times New Roman" w:cs="Times New Roman"/>
          <w:sz w:val="24"/>
          <w:szCs w:val="24"/>
        </w:rPr>
        <w:t xml:space="preserve">between 2010 and 2014. Because Virgin OZ adopted cross-hedging strategy through hedging with the gas oil and the basis was effectively managed with the jet derivative </w:t>
      </w:r>
      <w:r w:rsidR="00F00B84" w:rsidRPr="00A56158">
        <w:rPr>
          <w:rFonts w:ascii="Times New Roman" w:hAnsi="Times New Roman" w:cs="Times New Roman"/>
          <w:sz w:val="24"/>
          <w:szCs w:val="24"/>
        </w:rPr>
        <w:t xml:space="preserve">contracts. From 2015 onwards the company has been using jet fuel as the underlying commodity in the jet fuel price hedging. </w:t>
      </w:r>
      <w:r w:rsidR="00D07151" w:rsidRPr="00A56158">
        <w:rPr>
          <w:rFonts w:ascii="Times New Roman" w:hAnsi="Times New Roman" w:cs="Times New Roman"/>
          <w:sz w:val="24"/>
          <w:szCs w:val="24"/>
        </w:rPr>
        <w:t xml:space="preserve">Therefore, if the appropriate contract has been entered into the former risk manager would have achieved the following: </w:t>
      </w:r>
      <w:bookmarkStart w:id="1" w:name="_Hlk41582113"/>
      <w:r w:rsidR="00D07151" w:rsidRPr="00A56158">
        <w:rPr>
          <w:rFonts w:ascii="Times New Roman" w:hAnsi="Times New Roman" w:cs="Times New Roman"/>
          <w:sz w:val="24"/>
          <w:szCs w:val="24"/>
        </w:rPr>
        <w:t>(a) reducing Virgin OZ’s systematic jet fuel or oil price risk; (b) to manage jet fuel risk through a diversification as well as result in increased the organization’s particular investment by various stakeholde</w:t>
      </w:r>
      <w:bookmarkEnd w:id="1"/>
      <w:r w:rsidR="00D07151" w:rsidRPr="00A56158">
        <w:rPr>
          <w:rFonts w:ascii="Times New Roman" w:hAnsi="Times New Roman" w:cs="Times New Roman"/>
          <w:sz w:val="24"/>
          <w:szCs w:val="24"/>
        </w:rPr>
        <w:t xml:space="preserve">rs. When appropriate financial hedging instruments are </w:t>
      </w:r>
      <w:r w:rsidR="002126CF" w:rsidRPr="00A56158">
        <w:rPr>
          <w:rFonts w:ascii="Times New Roman" w:hAnsi="Times New Roman" w:cs="Times New Roman"/>
          <w:sz w:val="24"/>
          <w:szCs w:val="24"/>
        </w:rPr>
        <w:t>used in</w:t>
      </w:r>
      <w:r w:rsidR="00D07151" w:rsidRPr="00A56158">
        <w:rPr>
          <w:rFonts w:ascii="Times New Roman" w:hAnsi="Times New Roman" w:cs="Times New Roman"/>
          <w:sz w:val="24"/>
          <w:szCs w:val="24"/>
        </w:rPr>
        <w:t xml:space="preserve"> hedging the airline’s systematic jet fuel risks changes the incentives of the firm to manage the </w:t>
      </w:r>
      <w:r w:rsidR="002126CF" w:rsidRPr="00A56158">
        <w:rPr>
          <w:rFonts w:ascii="Times New Roman" w:hAnsi="Times New Roman" w:cs="Times New Roman"/>
          <w:sz w:val="24"/>
          <w:szCs w:val="24"/>
        </w:rPr>
        <w:t>underlying risk through diversification.</w:t>
      </w:r>
    </w:p>
    <w:p w14:paraId="72F552A1" w14:textId="4CD90C36" w:rsidR="002126CF" w:rsidRPr="00A56158" w:rsidRDefault="002126CF"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Additionally, appropriate hedging decreases jet fuel risks through trading various financial derivative contracts like options, swaps, future and forward contracts.</w:t>
      </w:r>
    </w:p>
    <w:p w14:paraId="3DB6467D" w14:textId="6AB03152" w:rsidR="00303505" w:rsidRPr="00A56158" w:rsidRDefault="00303505" w:rsidP="007378C7">
      <w:pPr>
        <w:pStyle w:val="ListParagraph"/>
        <w:numPr>
          <w:ilvl w:val="0"/>
          <w:numId w:val="14"/>
        </w:numPr>
        <w:spacing w:before="100" w:beforeAutospacing="1" w:after="100" w:afterAutospacing="1" w:line="480" w:lineRule="auto"/>
        <w:rPr>
          <w:rFonts w:ascii="Times New Roman" w:hAnsi="Times New Roman" w:cs="Times New Roman"/>
          <w:b/>
          <w:bCs/>
          <w:sz w:val="24"/>
          <w:szCs w:val="24"/>
        </w:rPr>
      </w:pPr>
      <w:bookmarkStart w:id="2" w:name="_Hlk41582269"/>
      <w:r w:rsidRPr="00A56158">
        <w:rPr>
          <w:rFonts w:ascii="Times New Roman" w:hAnsi="Times New Roman" w:cs="Times New Roman"/>
          <w:b/>
          <w:bCs/>
          <w:sz w:val="24"/>
          <w:szCs w:val="24"/>
        </w:rPr>
        <w:t>Ascertain the likely profit/losses to date on the contracts</w:t>
      </w:r>
    </w:p>
    <w:bookmarkEnd w:id="2"/>
    <w:p w14:paraId="046116D8" w14:textId="0E897A65" w:rsidR="00303505" w:rsidRPr="00A56158" w:rsidRDefault="00303505"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 Decrease in the price of oil and jet fuel due to inappropriate application of future and forward pricing principles as well as due to unprecedent circumstances such as the outbreak of </w:t>
      </w:r>
      <w:r w:rsidR="00B80127" w:rsidRPr="00A56158">
        <w:rPr>
          <w:rFonts w:ascii="Times New Roman" w:hAnsi="Times New Roman" w:cs="Times New Roman"/>
          <w:sz w:val="24"/>
          <w:szCs w:val="24"/>
        </w:rPr>
        <w:t>Coronavirus (</w:t>
      </w:r>
      <w:r w:rsidRPr="00A56158">
        <w:rPr>
          <w:rFonts w:ascii="Times New Roman" w:hAnsi="Times New Roman" w:cs="Times New Roman"/>
          <w:sz w:val="24"/>
          <w:szCs w:val="24"/>
        </w:rPr>
        <w:t xml:space="preserve">COVID19) across the globe resulting in </w:t>
      </w:r>
      <w:r w:rsidR="00B80127" w:rsidRPr="00A56158">
        <w:rPr>
          <w:rFonts w:ascii="Times New Roman" w:hAnsi="Times New Roman" w:cs="Times New Roman"/>
          <w:sz w:val="24"/>
          <w:szCs w:val="24"/>
        </w:rPr>
        <w:t xml:space="preserve">cancellation of frights and restriction of travel affect the airline companies negatively. For instance , the contracts entered into by </w:t>
      </w:r>
      <w:r w:rsidR="00B80127" w:rsidRPr="00A56158">
        <w:rPr>
          <w:rFonts w:ascii="Times New Roman" w:hAnsi="Times New Roman" w:cs="Times New Roman"/>
          <w:sz w:val="24"/>
          <w:szCs w:val="24"/>
        </w:rPr>
        <w:lastRenderedPageBreak/>
        <w:t>the Virgin OZ’s former risk manager results in the decrease of the price of oil from approximately $60 per barrel to minus $37.63 per barrel , meaning the company is incurring losses and gaining from the contracts because it will be required to pay the amount of money hedged .Thus , the contracts exposes the firm to hedging expenses as the oil supplier gains from the agreement.</w:t>
      </w:r>
    </w:p>
    <w:p w14:paraId="4B2931FB" w14:textId="31B1F8FE" w:rsidR="0019671D" w:rsidRPr="00A56158" w:rsidRDefault="0019671D"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The </w:t>
      </w:r>
      <w:r w:rsidR="0090359D" w:rsidRPr="00A56158">
        <w:rPr>
          <w:rFonts w:ascii="Times New Roman" w:hAnsi="Times New Roman" w:cs="Times New Roman"/>
          <w:sz w:val="24"/>
          <w:szCs w:val="24"/>
        </w:rPr>
        <w:t xml:space="preserve">jet fuel or oil hedging can be extremely high for Virgin OZ Company and could be a demerit gains the rival airline companies which are not highly exposed to jet fuel hedging expenses since </w:t>
      </w:r>
      <w:r w:rsidR="009D3861" w:rsidRPr="00A56158">
        <w:rPr>
          <w:rFonts w:ascii="Times New Roman" w:hAnsi="Times New Roman" w:cs="Times New Roman"/>
          <w:sz w:val="24"/>
          <w:szCs w:val="24"/>
        </w:rPr>
        <w:t xml:space="preserve">, all other factors like COVID 19 outbreak aside, they can provide cheaper ticket to their customers because of lower jet fuel </w:t>
      </w:r>
      <w:r w:rsidR="00E746F0" w:rsidRPr="00A56158">
        <w:rPr>
          <w:rFonts w:ascii="Times New Roman" w:hAnsi="Times New Roman" w:cs="Times New Roman"/>
          <w:sz w:val="24"/>
          <w:szCs w:val="24"/>
        </w:rPr>
        <w:t xml:space="preserve">inputs. Therefore, as the jet fuel prices </w:t>
      </w:r>
      <w:r w:rsidR="00425CFD" w:rsidRPr="00A56158">
        <w:rPr>
          <w:rFonts w:ascii="Times New Roman" w:hAnsi="Times New Roman" w:cs="Times New Roman"/>
          <w:sz w:val="24"/>
          <w:szCs w:val="24"/>
        </w:rPr>
        <w:t>reduces, Virgin OZ hedging losses increases. However, If the jet fuel prices rebound to the pre-COVID 19 prices, the organization’s hedging will become profits and reduce Virgin OZ’s net fuel bill.</w:t>
      </w:r>
    </w:p>
    <w:p w14:paraId="13A9F1C8" w14:textId="61A770E1" w:rsidR="00DF4556" w:rsidRPr="00A56158" w:rsidRDefault="00DF4556" w:rsidP="007378C7">
      <w:pPr>
        <w:pStyle w:val="ListParagraph"/>
        <w:numPr>
          <w:ilvl w:val="0"/>
          <w:numId w:val="14"/>
        </w:numPr>
        <w:spacing w:before="100" w:beforeAutospacing="1" w:after="100" w:afterAutospacing="1" w:line="480" w:lineRule="auto"/>
        <w:rPr>
          <w:rFonts w:ascii="Times New Roman" w:hAnsi="Times New Roman" w:cs="Times New Roman"/>
          <w:b/>
          <w:bCs/>
          <w:sz w:val="24"/>
          <w:szCs w:val="24"/>
        </w:rPr>
      </w:pPr>
      <w:r w:rsidRPr="00A56158">
        <w:rPr>
          <w:rFonts w:ascii="Times New Roman" w:hAnsi="Times New Roman" w:cs="Times New Roman"/>
          <w:b/>
          <w:bCs/>
          <w:sz w:val="24"/>
          <w:szCs w:val="24"/>
        </w:rPr>
        <w:t>Determine a new options strategy to maximize Virgin Oz’s position</w:t>
      </w:r>
    </w:p>
    <w:p w14:paraId="0E9EB3FB" w14:textId="59D72077" w:rsidR="001951B6" w:rsidRPr="00A56158" w:rsidRDefault="00DF4556"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To maximize the position of Virgin Oz, the board should adopt appropriate management of financial risks, including the oil, jet fuel price risks through </w:t>
      </w:r>
      <w:r w:rsidR="00715962" w:rsidRPr="00A56158">
        <w:rPr>
          <w:rFonts w:ascii="Times New Roman" w:hAnsi="Times New Roman" w:cs="Times New Roman"/>
          <w:sz w:val="24"/>
          <w:szCs w:val="24"/>
        </w:rPr>
        <w:t xml:space="preserve">hedging. The aim of hedging should be countering the short-term jet fuel price fluctuations and offering scope to control as well as manage the price </w:t>
      </w:r>
      <w:r w:rsidR="001951B6" w:rsidRPr="00A56158">
        <w:rPr>
          <w:rFonts w:ascii="Times New Roman" w:hAnsi="Times New Roman" w:cs="Times New Roman"/>
          <w:sz w:val="24"/>
          <w:szCs w:val="24"/>
        </w:rPr>
        <w:t>changes. Additionally</w:t>
      </w:r>
      <w:r w:rsidR="00715962" w:rsidRPr="00A56158">
        <w:rPr>
          <w:rFonts w:ascii="Times New Roman" w:hAnsi="Times New Roman" w:cs="Times New Roman"/>
          <w:sz w:val="24"/>
          <w:szCs w:val="24"/>
        </w:rPr>
        <w:t>, to maximize the company’s position, the risk management should employ options as hedging derivative instruments</w:t>
      </w:r>
      <w:r w:rsidR="001951B6" w:rsidRPr="00A56158">
        <w:rPr>
          <w:rFonts w:ascii="Times New Roman" w:hAnsi="Times New Roman" w:cs="Times New Roman"/>
          <w:sz w:val="24"/>
          <w:szCs w:val="24"/>
        </w:rPr>
        <w:t>.</w:t>
      </w:r>
    </w:p>
    <w:p w14:paraId="7FD25BDC" w14:textId="77777777" w:rsidR="001951B6" w:rsidRPr="00A56158" w:rsidRDefault="001951B6" w:rsidP="007378C7">
      <w:pPr>
        <w:spacing w:before="100" w:beforeAutospacing="1" w:after="100" w:afterAutospacing="1"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Options </w:t>
      </w:r>
    </w:p>
    <w:p w14:paraId="441B089F" w14:textId="3367B863" w:rsidR="001951B6" w:rsidRPr="00A56158" w:rsidRDefault="001951B6"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Options are derivative contracts, that provides the involved parties the right and not obligation to sell or purchase the underlying asset at pre-set price in the future</w:t>
      </w:r>
      <w:sdt>
        <w:sdtPr>
          <w:rPr>
            <w:rFonts w:ascii="Times New Roman" w:hAnsi="Times New Roman" w:cs="Times New Roman"/>
            <w:sz w:val="24"/>
            <w:szCs w:val="24"/>
          </w:rPr>
          <w:id w:val="-540735857"/>
          <w:citation/>
        </w:sdtPr>
        <w:sdtEnd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Lin09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(Rueyjian &amp; Chang, 2009)</w:t>
          </w:r>
          <w:r w:rsidR="005D18AD"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xml:space="preserve">. When an organization takes an option to purchase an underlying asset is </w:t>
      </w:r>
      <w:r w:rsidRPr="00A56158">
        <w:rPr>
          <w:rFonts w:ascii="Times New Roman" w:hAnsi="Times New Roman" w:cs="Times New Roman"/>
          <w:sz w:val="24"/>
          <w:szCs w:val="24"/>
        </w:rPr>
        <w:lastRenderedPageBreak/>
        <w:t xml:space="preserve">commonly known as call option. On the other hand, when a company gets a right to sell the underlying asset is known as put option. </w:t>
      </w:r>
    </w:p>
    <w:p w14:paraId="5C26A5C9" w14:textId="389040D9" w:rsidR="001951B6" w:rsidRPr="00A56158" w:rsidRDefault="001951B6" w:rsidP="007378C7">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For the organization to determine the profitability of an option before adopting it, the strike price and spot price should be compared. Through the comparison of strike price and spot price, the organization makes a choice of either letting it to expire or exercising it. When a firm chooses to exercise the option can find itself in three positions. The first position is out the money (OTM), in which the spot price is lower than strike price. In this situation it appropriate to purchase the underlying asset (jet fuel) at the sport price (current market price) and let the option to expire. The second option is in the money (ITM), in which spot price is more unfavorable compared to strike price, and thus it will advantageous for the firm to exercise the option</w:t>
      </w:r>
      <w:sdt>
        <w:sdtPr>
          <w:rPr>
            <w:rFonts w:ascii="Times New Roman" w:hAnsi="Times New Roman" w:cs="Times New Roman"/>
            <w:sz w:val="24"/>
            <w:szCs w:val="24"/>
          </w:rPr>
          <w:id w:val="1339120331"/>
          <w:citation/>
        </w:sdtPr>
        <w:sdtEndPr/>
        <w:sdtContent>
          <w:r w:rsidR="005D18AD" w:rsidRPr="00A56158">
            <w:rPr>
              <w:rFonts w:ascii="Times New Roman" w:hAnsi="Times New Roman" w:cs="Times New Roman"/>
              <w:sz w:val="24"/>
              <w:szCs w:val="24"/>
            </w:rPr>
            <w:fldChar w:fldCharType="begin"/>
          </w:r>
          <w:r w:rsidR="005D18AD" w:rsidRPr="00A56158">
            <w:rPr>
              <w:rFonts w:ascii="Times New Roman" w:hAnsi="Times New Roman" w:cs="Times New Roman"/>
              <w:sz w:val="24"/>
              <w:szCs w:val="24"/>
              <w:lang w:val="en-GB"/>
            </w:rPr>
            <w:instrText xml:space="preserve"> CITATION Lin09 \l 2057 </w:instrText>
          </w:r>
          <w:r w:rsidR="005D18AD" w:rsidRPr="00A56158">
            <w:rPr>
              <w:rFonts w:ascii="Times New Roman" w:hAnsi="Times New Roman" w:cs="Times New Roman"/>
              <w:sz w:val="24"/>
              <w:szCs w:val="24"/>
            </w:rPr>
            <w:fldChar w:fldCharType="separate"/>
          </w:r>
          <w:r w:rsidR="005D18AD" w:rsidRPr="00A56158">
            <w:rPr>
              <w:rFonts w:ascii="Times New Roman" w:hAnsi="Times New Roman" w:cs="Times New Roman"/>
              <w:noProof/>
              <w:sz w:val="24"/>
              <w:szCs w:val="24"/>
              <w:lang w:val="en-GB"/>
            </w:rPr>
            <w:t xml:space="preserve"> (Rueyjian &amp; Chang, 2009)</w:t>
          </w:r>
          <w:r w:rsidR="005D18AD"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The third option is at the money (ATM), where spot price and strike price are equal and the company cannot gain any advantage. There are two different ways of settling an option between the involved parties</w:t>
      </w:r>
      <w:sdt>
        <w:sdtPr>
          <w:rPr>
            <w:rFonts w:ascii="Times New Roman" w:hAnsi="Times New Roman" w:cs="Times New Roman"/>
            <w:sz w:val="24"/>
            <w:szCs w:val="24"/>
          </w:rPr>
          <w:id w:val="1019732988"/>
          <w:citation/>
        </w:sdtPr>
        <w:sdtEndPr/>
        <w:sdtContent>
          <w:r w:rsidR="00B73468" w:rsidRPr="00A56158">
            <w:rPr>
              <w:rFonts w:ascii="Times New Roman" w:hAnsi="Times New Roman" w:cs="Times New Roman"/>
              <w:sz w:val="24"/>
              <w:szCs w:val="24"/>
            </w:rPr>
            <w:fldChar w:fldCharType="begin"/>
          </w:r>
          <w:r w:rsidR="00B73468" w:rsidRPr="00A56158">
            <w:rPr>
              <w:rFonts w:ascii="Times New Roman" w:hAnsi="Times New Roman" w:cs="Times New Roman"/>
              <w:sz w:val="24"/>
              <w:szCs w:val="24"/>
              <w:lang w:val="en-GB"/>
            </w:rPr>
            <w:instrText xml:space="preserve"> CITATION Car061 \l 2057 </w:instrText>
          </w:r>
          <w:r w:rsidR="00B73468" w:rsidRPr="00A56158">
            <w:rPr>
              <w:rFonts w:ascii="Times New Roman" w:hAnsi="Times New Roman" w:cs="Times New Roman"/>
              <w:sz w:val="24"/>
              <w:szCs w:val="24"/>
            </w:rPr>
            <w:fldChar w:fldCharType="separate"/>
          </w:r>
          <w:r w:rsidR="00B73468" w:rsidRPr="00A56158">
            <w:rPr>
              <w:rFonts w:ascii="Times New Roman" w:hAnsi="Times New Roman" w:cs="Times New Roman"/>
              <w:noProof/>
              <w:sz w:val="24"/>
              <w:szCs w:val="24"/>
              <w:lang w:val="en-GB"/>
            </w:rPr>
            <w:t xml:space="preserve"> (Carter, et al., 2006)</w:t>
          </w:r>
          <w:r w:rsidR="00B73468"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xml:space="preserve">. The first way is to cash in order to settle the option. The second way is physically delivering the underlying asset. </w:t>
      </w:r>
    </w:p>
    <w:p w14:paraId="2868B2A9" w14:textId="5A1167FC" w:rsidR="001951B6" w:rsidRPr="00A56158" w:rsidRDefault="001951B6" w:rsidP="007378C7">
      <w:pPr>
        <w:pStyle w:val="ListParagraph"/>
        <w:spacing w:before="100" w:beforeAutospacing="1" w:after="100" w:afterAutospacing="1" w:line="480" w:lineRule="auto"/>
        <w:ind w:left="284" w:firstLine="720"/>
        <w:rPr>
          <w:rFonts w:ascii="Times New Roman" w:hAnsi="Times New Roman" w:cs="Times New Roman"/>
          <w:sz w:val="24"/>
          <w:szCs w:val="24"/>
        </w:rPr>
      </w:pPr>
      <w:r w:rsidRPr="00A56158">
        <w:rPr>
          <w:rFonts w:ascii="Times New Roman" w:hAnsi="Times New Roman" w:cs="Times New Roman"/>
          <w:sz w:val="24"/>
          <w:szCs w:val="24"/>
        </w:rPr>
        <w:t xml:space="preserve">An option has various advantages over other derivative contracts. The most significant advantage is that a </w:t>
      </w:r>
      <w:bookmarkStart w:id="3" w:name="_Hlk41584045"/>
      <w:r w:rsidRPr="00A56158">
        <w:rPr>
          <w:rFonts w:ascii="Times New Roman" w:hAnsi="Times New Roman" w:cs="Times New Roman"/>
          <w:sz w:val="24"/>
          <w:szCs w:val="24"/>
        </w:rPr>
        <w:t>call option and put option is not binding because it does not obligate the involved the holders to purchase the underlying commodity</w:t>
      </w:r>
      <w:bookmarkEnd w:id="3"/>
      <w:sdt>
        <w:sdtPr>
          <w:rPr>
            <w:rFonts w:ascii="Times New Roman" w:hAnsi="Times New Roman" w:cs="Times New Roman"/>
            <w:sz w:val="24"/>
            <w:szCs w:val="24"/>
          </w:rPr>
          <w:id w:val="-1237165699"/>
          <w:citation/>
        </w:sdtPr>
        <w:sdtEndPr/>
        <w:sdtContent>
          <w:r w:rsidR="00B73468" w:rsidRPr="00A56158">
            <w:rPr>
              <w:rFonts w:ascii="Times New Roman" w:hAnsi="Times New Roman" w:cs="Times New Roman"/>
              <w:sz w:val="24"/>
              <w:szCs w:val="24"/>
            </w:rPr>
            <w:fldChar w:fldCharType="begin"/>
          </w:r>
          <w:r w:rsidR="00B73468" w:rsidRPr="00A56158">
            <w:rPr>
              <w:rFonts w:ascii="Times New Roman" w:hAnsi="Times New Roman" w:cs="Times New Roman"/>
              <w:sz w:val="24"/>
              <w:szCs w:val="24"/>
              <w:lang w:val="en-GB"/>
            </w:rPr>
            <w:instrText xml:space="preserve"> CITATION Tok12 \l 2057 </w:instrText>
          </w:r>
          <w:r w:rsidR="00B73468" w:rsidRPr="00A56158">
            <w:rPr>
              <w:rFonts w:ascii="Times New Roman" w:hAnsi="Times New Roman" w:cs="Times New Roman"/>
              <w:sz w:val="24"/>
              <w:szCs w:val="24"/>
            </w:rPr>
            <w:fldChar w:fldCharType="separate"/>
          </w:r>
          <w:r w:rsidR="00B73468" w:rsidRPr="00A56158">
            <w:rPr>
              <w:rFonts w:ascii="Times New Roman" w:hAnsi="Times New Roman" w:cs="Times New Roman"/>
              <w:noProof/>
              <w:sz w:val="24"/>
              <w:szCs w:val="24"/>
              <w:lang w:val="en-GB"/>
            </w:rPr>
            <w:t xml:space="preserve"> (Tokic, 2012)</w:t>
          </w:r>
          <w:r w:rsidR="00B73468" w:rsidRPr="00A56158">
            <w:rPr>
              <w:rFonts w:ascii="Times New Roman" w:hAnsi="Times New Roman" w:cs="Times New Roman"/>
              <w:sz w:val="24"/>
              <w:szCs w:val="24"/>
            </w:rPr>
            <w:fldChar w:fldCharType="end"/>
          </w:r>
        </w:sdtContent>
      </w:sdt>
      <w:r w:rsidRPr="00A56158">
        <w:rPr>
          <w:rFonts w:ascii="Times New Roman" w:hAnsi="Times New Roman" w:cs="Times New Roman"/>
          <w:sz w:val="24"/>
          <w:szCs w:val="24"/>
        </w:rPr>
        <w:t>. It provides the organization the right to purchase the commodity and hence when the price is more than the strike price the firm company can let the option to expire and purchase the commodity at the spot price</w:t>
      </w:r>
    </w:p>
    <w:p w14:paraId="78051C0F" w14:textId="1962918A" w:rsidR="00947DBE" w:rsidRPr="00A56158" w:rsidRDefault="003B0981" w:rsidP="007378C7">
      <w:pPr>
        <w:spacing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Conclusion </w:t>
      </w:r>
    </w:p>
    <w:p w14:paraId="2CAB4A4C" w14:textId="6790BD42" w:rsidR="00F8255E" w:rsidRPr="00A56158" w:rsidRDefault="003B0981" w:rsidP="0029182C">
      <w:pPr>
        <w:spacing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lastRenderedPageBreak/>
        <w:t xml:space="preserve">Jet fuel and oil </w:t>
      </w:r>
      <w:r w:rsidR="0029182C" w:rsidRPr="00A56158">
        <w:rPr>
          <w:rFonts w:ascii="Times New Roman" w:hAnsi="Times New Roman" w:cs="Times New Roman"/>
          <w:sz w:val="24"/>
          <w:szCs w:val="24"/>
        </w:rPr>
        <w:t xml:space="preserve">cost are most crucial operating expenses for Virgin Oz airline much like the other commercial and cargo airlines across the globe. Managing jet fuel risk is significant for the airline. The airline has been hedging the oil price risk exposure using derivative instruments like futures, swaps, and </w:t>
      </w:r>
      <w:r w:rsidR="00F76F90" w:rsidRPr="00A56158">
        <w:rPr>
          <w:rFonts w:ascii="Times New Roman" w:hAnsi="Times New Roman" w:cs="Times New Roman"/>
          <w:sz w:val="24"/>
          <w:szCs w:val="24"/>
        </w:rPr>
        <w:t xml:space="preserve">forwards. However, the price of oil dropped from $60 per barrel to minus $37.63 per barrel leading to the exposure of the company to hedging expenses because it is required to pay the hedged </w:t>
      </w:r>
      <w:r w:rsidR="00ED6734" w:rsidRPr="00A56158">
        <w:rPr>
          <w:rFonts w:ascii="Times New Roman" w:hAnsi="Times New Roman" w:cs="Times New Roman"/>
          <w:sz w:val="24"/>
          <w:szCs w:val="24"/>
        </w:rPr>
        <w:t>amount. To</w:t>
      </w:r>
      <w:r w:rsidR="00F76F90" w:rsidRPr="00A56158">
        <w:rPr>
          <w:rFonts w:ascii="Times New Roman" w:hAnsi="Times New Roman" w:cs="Times New Roman"/>
          <w:sz w:val="24"/>
          <w:szCs w:val="24"/>
        </w:rPr>
        <w:t xml:space="preserve"> maximize the position of Virgin Oz the company should employ option derivative </w:t>
      </w:r>
      <w:r w:rsidR="00ED6734" w:rsidRPr="00A56158">
        <w:rPr>
          <w:rFonts w:ascii="Times New Roman" w:hAnsi="Times New Roman" w:cs="Times New Roman"/>
          <w:sz w:val="24"/>
          <w:szCs w:val="24"/>
        </w:rPr>
        <w:t>instruments as the new strategy option. This is because both call option and put option is not binding because it does not obligate the involved the holders to purchase the underlying commodity.</w:t>
      </w:r>
    </w:p>
    <w:p w14:paraId="36B98DA1" w14:textId="3FD17FEC" w:rsidR="00ED6734" w:rsidRPr="00A56158" w:rsidRDefault="00ED6734" w:rsidP="00ED6734">
      <w:pPr>
        <w:spacing w:line="480" w:lineRule="auto"/>
        <w:contextualSpacing/>
        <w:rPr>
          <w:rFonts w:ascii="Times New Roman" w:hAnsi="Times New Roman" w:cs="Times New Roman"/>
          <w:b/>
          <w:bCs/>
          <w:sz w:val="24"/>
          <w:szCs w:val="24"/>
        </w:rPr>
      </w:pPr>
      <w:r w:rsidRPr="00A56158">
        <w:rPr>
          <w:rFonts w:ascii="Times New Roman" w:hAnsi="Times New Roman" w:cs="Times New Roman"/>
          <w:b/>
          <w:bCs/>
          <w:sz w:val="24"/>
          <w:szCs w:val="24"/>
        </w:rPr>
        <w:t xml:space="preserve">Recommendations </w:t>
      </w:r>
    </w:p>
    <w:p w14:paraId="6A13B695" w14:textId="28258B94" w:rsidR="00ED6734" w:rsidRPr="00A56158" w:rsidRDefault="00ED6734" w:rsidP="007013F4">
      <w:pPr>
        <w:spacing w:before="100" w:beforeAutospacing="1" w:after="100" w:afterAutospacing="1" w:line="480" w:lineRule="auto"/>
        <w:ind w:left="284" w:firstLine="720"/>
        <w:contextualSpacing/>
        <w:rPr>
          <w:rFonts w:ascii="Times New Roman" w:hAnsi="Times New Roman" w:cs="Times New Roman"/>
          <w:sz w:val="24"/>
          <w:szCs w:val="24"/>
        </w:rPr>
      </w:pPr>
      <w:r w:rsidRPr="00A56158">
        <w:rPr>
          <w:rFonts w:ascii="Times New Roman" w:hAnsi="Times New Roman" w:cs="Times New Roman"/>
          <w:sz w:val="24"/>
          <w:szCs w:val="24"/>
        </w:rPr>
        <w:t xml:space="preserve">To maximize Virgin Oz’s position and mitigate against the jet fuel price exposure, the company should employ both appropriate derivative contract instruments and operational measures. The operational measures Virgin Oz should adopt </w:t>
      </w:r>
      <w:r w:rsidR="007013F4" w:rsidRPr="00A56158">
        <w:rPr>
          <w:rFonts w:ascii="Times New Roman" w:hAnsi="Times New Roman" w:cs="Times New Roman"/>
          <w:sz w:val="24"/>
          <w:szCs w:val="24"/>
        </w:rPr>
        <w:t>include: Flying</w:t>
      </w:r>
      <w:r w:rsidRPr="00A56158">
        <w:rPr>
          <w:rFonts w:ascii="Times New Roman" w:hAnsi="Times New Roman" w:cs="Times New Roman"/>
          <w:sz w:val="24"/>
          <w:szCs w:val="24"/>
        </w:rPr>
        <w:t xml:space="preserve"> direct route to minimize </w:t>
      </w:r>
      <w:r w:rsidR="007013F4" w:rsidRPr="00A56158">
        <w:rPr>
          <w:rFonts w:ascii="Times New Roman" w:hAnsi="Times New Roman" w:cs="Times New Roman"/>
          <w:sz w:val="24"/>
          <w:szCs w:val="24"/>
        </w:rPr>
        <w:t xml:space="preserve">jet fuel </w:t>
      </w:r>
      <w:r w:rsidR="009F7264" w:rsidRPr="00A56158">
        <w:rPr>
          <w:rFonts w:ascii="Times New Roman" w:hAnsi="Times New Roman" w:cs="Times New Roman"/>
          <w:sz w:val="24"/>
          <w:szCs w:val="24"/>
        </w:rPr>
        <w:t>expenses, installing efficient winglets in the aircrafts, refitting aircrafts with the lighter materials and seats.</w:t>
      </w:r>
    </w:p>
    <w:p w14:paraId="5AF4B644" w14:textId="107ED517" w:rsidR="007013F4" w:rsidRPr="00A56158" w:rsidRDefault="007013F4" w:rsidP="007013F4">
      <w:pPr>
        <w:spacing w:before="100" w:beforeAutospacing="1" w:after="100" w:afterAutospacing="1" w:line="480" w:lineRule="auto"/>
        <w:rPr>
          <w:rFonts w:ascii="Times New Roman" w:hAnsi="Times New Roman" w:cs="Times New Roman"/>
          <w:sz w:val="24"/>
          <w:szCs w:val="24"/>
        </w:rPr>
      </w:pPr>
    </w:p>
    <w:p w14:paraId="6CC1979D" w14:textId="59E24E15" w:rsidR="007013F4" w:rsidRPr="00A56158" w:rsidRDefault="007013F4" w:rsidP="007013F4">
      <w:pPr>
        <w:spacing w:before="100" w:beforeAutospacing="1" w:after="100" w:afterAutospacing="1" w:line="480" w:lineRule="auto"/>
        <w:rPr>
          <w:rFonts w:ascii="Times New Roman" w:hAnsi="Times New Roman" w:cs="Times New Roman"/>
          <w:sz w:val="24"/>
          <w:szCs w:val="24"/>
        </w:rPr>
      </w:pPr>
    </w:p>
    <w:p w14:paraId="59DA52C5" w14:textId="77777777" w:rsidR="007013F4" w:rsidRPr="00A56158" w:rsidRDefault="007013F4" w:rsidP="007013F4">
      <w:pPr>
        <w:spacing w:before="100" w:beforeAutospacing="1" w:after="100" w:afterAutospacing="1" w:line="480" w:lineRule="auto"/>
        <w:rPr>
          <w:rFonts w:ascii="Times New Roman" w:hAnsi="Times New Roman" w:cs="Times New Roman"/>
          <w:sz w:val="24"/>
          <w:szCs w:val="24"/>
        </w:rPr>
      </w:pPr>
    </w:p>
    <w:p w14:paraId="20B874CB" w14:textId="77777777" w:rsidR="00F8255E" w:rsidRPr="00A56158" w:rsidRDefault="00F8255E" w:rsidP="007378C7">
      <w:pPr>
        <w:spacing w:line="480" w:lineRule="auto"/>
        <w:contextualSpacing/>
        <w:rPr>
          <w:rFonts w:ascii="Times New Roman" w:hAnsi="Times New Roman" w:cs="Times New Roman"/>
          <w:sz w:val="24"/>
          <w:szCs w:val="24"/>
        </w:rPr>
      </w:pPr>
    </w:p>
    <w:p w14:paraId="4C96DEF2" w14:textId="77777777" w:rsidR="00F8255E" w:rsidRPr="00A56158" w:rsidRDefault="00F8255E" w:rsidP="007378C7">
      <w:pPr>
        <w:spacing w:line="480" w:lineRule="auto"/>
        <w:contextualSpacing/>
        <w:rPr>
          <w:rFonts w:ascii="Times New Roman" w:hAnsi="Times New Roman" w:cs="Times New Roman"/>
          <w:sz w:val="24"/>
          <w:szCs w:val="24"/>
        </w:rPr>
      </w:pPr>
    </w:p>
    <w:p w14:paraId="6CC093C0" w14:textId="77777777" w:rsidR="00F8255E" w:rsidRPr="00A56158" w:rsidRDefault="00F8255E" w:rsidP="007378C7">
      <w:pPr>
        <w:spacing w:line="480" w:lineRule="auto"/>
        <w:contextualSpacing/>
        <w:rPr>
          <w:rFonts w:ascii="Times New Roman" w:hAnsi="Times New Roman" w:cs="Times New Roman"/>
          <w:sz w:val="24"/>
          <w:szCs w:val="24"/>
        </w:rPr>
      </w:pPr>
    </w:p>
    <w:p w14:paraId="3D364CB8" w14:textId="77777777" w:rsidR="00A56158" w:rsidRDefault="001951B6" w:rsidP="00A56158">
      <w:pPr>
        <w:tabs>
          <w:tab w:val="left" w:pos="1875"/>
        </w:tabs>
        <w:spacing w:line="480" w:lineRule="auto"/>
        <w:contextualSpacing/>
        <w:rPr>
          <w:rFonts w:ascii="Times New Roman" w:hAnsi="Times New Roman" w:cs="Times New Roman"/>
          <w:sz w:val="24"/>
          <w:szCs w:val="24"/>
        </w:rPr>
      </w:pPr>
      <w:r w:rsidRPr="00A56158">
        <w:rPr>
          <w:rFonts w:ascii="Times New Roman" w:hAnsi="Times New Roman" w:cs="Times New Roman"/>
          <w:sz w:val="24"/>
          <w:szCs w:val="24"/>
        </w:rPr>
        <w:tab/>
      </w:r>
    </w:p>
    <w:p w14:paraId="5C36075C" w14:textId="7DFF10D9" w:rsidR="00DC1440" w:rsidRPr="00A56158" w:rsidRDefault="009F7264" w:rsidP="00A56158">
      <w:pPr>
        <w:tabs>
          <w:tab w:val="left" w:pos="1875"/>
        </w:tabs>
        <w:spacing w:line="480" w:lineRule="auto"/>
        <w:contextualSpacing/>
        <w:jc w:val="center"/>
        <w:rPr>
          <w:rFonts w:ascii="Times New Roman" w:hAnsi="Times New Roman" w:cs="Times New Roman"/>
          <w:sz w:val="24"/>
          <w:szCs w:val="24"/>
        </w:rPr>
      </w:pPr>
      <w:r w:rsidRPr="00A56158">
        <w:rPr>
          <w:rFonts w:ascii="Times New Roman" w:hAnsi="Times New Roman" w:cs="Times New Roman"/>
          <w:sz w:val="24"/>
          <w:szCs w:val="24"/>
        </w:rPr>
        <w:lastRenderedPageBreak/>
        <w:t>References</w:t>
      </w:r>
    </w:p>
    <w:p w14:paraId="3F8CBA06" w14:textId="6E15D7DD"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sz w:val="24"/>
          <w:szCs w:val="24"/>
        </w:rPr>
        <w:fldChar w:fldCharType="begin"/>
      </w:r>
      <w:r w:rsidRPr="00A56158">
        <w:rPr>
          <w:rFonts w:ascii="Times New Roman" w:hAnsi="Times New Roman" w:cs="Times New Roman"/>
          <w:sz w:val="24"/>
          <w:szCs w:val="24"/>
          <w:lang w:val="en-GB"/>
        </w:rPr>
        <w:instrText xml:space="preserve"> BIBLIOGRAPHY  \l 2057 </w:instrText>
      </w:r>
      <w:r w:rsidRPr="00A56158">
        <w:rPr>
          <w:rFonts w:ascii="Times New Roman" w:hAnsi="Times New Roman" w:cs="Times New Roman"/>
          <w:sz w:val="24"/>
          <w:szCs w:val="24"/>
        </w:rPr>
        <w:fldChar w:fldCharType="separate"/>
      </w:r>
      <w:r w:rsidRPr="00A56158">
        <w:rPr>
          <w:rFonts w:ascii="Times New Roman" w:hAnsi="Times New Roman" w:cs="Times New Roman"/>
          <w:noProof/>
          <w:sz w:val="24"/>
          <w:szCs w:val="24"/>
        </w:rPr>
        <w:t xml:space="preserve">Berghöfer, B. &amp; Lucey, B., 2014. Fuel hedging, operational hedging and risk exposure – Evidence from the global airline industry. </w:t>
      </w:r>
      <w:r w:rsidRPr="00A56158">
        <w:rPr>
          <w:rFonts w:ascii="Times New Roman" w:hAnsi="Times New Roman" w:cs="Times New Roman"/>
          <w:i/>
          <w:iCs/>
          <w:noProof/>
          <w:sz w:val="24"/>
          <w:szCs w:val="24"/>
        </w:rPr>
        <w:t xml:space="preserve">International Review of Financial Analysis, </w:t>
      </w:r>
      <w:r w:rsidRPr="00A56158">
        <w:rPr>
          <w:rFonts w:ascii="Times New Roman" w:hAnsi="Times New Roman" w:cs="Times New Roman"/>
          <w:noProof/>
          <w:sz w:val="24"/>
          <w:szCs w:val="24"/>
        </w:rPr>
        <w:t>34(1), p. 200–211.</w:t>
      </w:r>
    </w:p>
    <w:p w14:paraId="0A0EBEFC" w14:textId="77777777"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 xml:space="preserve">Carter, D., Rogers, D. &amp; Simkins, B., 2006. Does Hedging Affect Firm Value? Evidence from the US Airline Industry. </w:t>
      </w:r>
      <w:r w:rsidRPr="00A56158">
        <w:rPr>
          <w:rFonts w:ascii="Times New Roman" w:hAnsi="Times New Roman" w:cs="Times New Roman"/>
          <w:i/>
          <w:iCs/>
          <w:noProof/>
          <w:sz w:val="24"/>
          <w:szCs w:val="24"/>
        </w:rPr>
        <w:t xml:space="preserve">Financial Management., </w:t>
      </w:r>
      <w:r w:rsidRPr="00A56158">
        <w:rPr>
          <w:rFonts w:ascii="Times New Roman" w:hAnsi="Times New Roman" w:cs="Times New Roman"/>
          <w:noProof/>
          <w:sz w:val="24"/>
          <w:szCs w:val="24"/>
        </w:rPr>
        <w:t>Volume 35, p. 53–86.</w:t>
      </w:r>
    </w:p>
    <w:p w14:paraId="0342483A" w14:textId="77777777"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 xml:space="preserve">Damodaran, A., 2012. Investment Valuation: Tools and Techniques for Determing the Value of Any Asset.. </w:t>
      </w:r>
    </w:p>
    <w:p w14:paraId="7D0932F3" w14:textId="1B48DDD7" w:rsidR="00B73468" w:rsidRPr="00A56158" w:rsidRDefault="00B73468" w:rsidP="002A3DBC">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Rueyjian, L. &amp; Chang, Y., 2009. Does hedging add value? Evidence from the global airline industry."</w:t>
      </w:r>
      <w:r w:rsidR="002A3DBC" w:rsidRPr="002A3DBC">
        <w:rPr>
          <w:rFonts w:ascii="Times New Roman" w:hAnsi="Times New Roman" w:cs="Times New Roman"/>
          <w:i/>
          <w:iCs/>
          <w:noProof/>
          <w:sz w:val="24"/>
          <w:szCs w:val="24"/>
        </w:rPr>
        <w:t xml:space="preserve"> </w:t>
      </w:r>
      <w:r w:rsidR="002A3DBC">
        <w:rPr>
          <w:rFonts w:ascii="Times New Roman" w:hAnsi="Times New Roman" w:cs="Times New Roman"/>
          <w:i/>
          <w:iCs/>
          <w:noProof/>
          <w:sz w:val="24"/>
          <w:szCs w:val="24"/>
        </w:rPr>
        <w:t>wha</w:t>
      </w:r>
      <w:r w:rsidR="002A3DBC">
        <w:rPr>
          <w:rFonts w:ascii="Times New Roman" w:hAnsi="Times New Roman" w:cs="Times New Roman"/>
          <w:i/>
          <w:iCs/>
          <w:noProof/>
          <w:sz w:val="24"/>
          <w:szCs w:val="24"/>
        </w:rPr>
        <w:t>t</w:t>
      </w:r>
      <w:r w:rsidR="002A3DBC">
        <w:rPr>
          <w:rFonts w:ascii="Times New Roman" w:hAnsi="Times New Roman" w:cs="Times New Roman"/>
          <w:i/>
          <w:iCs/>
          <w:noProof/>
          <w:sz w:val="24"/>
          <w:szCs w:val="24"/>
        </w:rPr>
        <w:t>+254727140173.</w:t>
      </w:r>
      <w:r w:rsidRPr="00A56158">
        <w:rPr>
          <w:rFonts w:ascii="Times New Roman" w:hAnsi="Times New Roman" w:cs="Times New Roman"/>
          <w:noProof/>
          <w:sz w:val="24"/>
          <w:szCs w:val="24"/>
        </w:rPr>
        <w:t xml:space="preserve">. </w:t>
      </w:r>
      <w:r w:rsidRPr="00A56158">
        <w:rPr>
          <w:rFonts w:ascii="Times New Roman" w:hAnsi="Times New Roman" w:cs="Times New Roman"/>
          <w:i/>
          <w:iCs/>
          <w:noProof/>
          <w:sz w:val="24"/>
          <w:szCs w:val="24"/>
        </w:rPr>
        <w:t>Evidence from the Global Airline Industry .</w:t>
      </w:r>
    </w:p>
    <w:p w14:paraId="1692141E" w14:textId="44375F1E"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 xml:space="preserve">Tokic, D., 2012. When hedging fails: What every CEO should know about speculation. </w:t>
      </w:r>
      <w:r w:rsidRPr="00A56158">
        <w:rPr>
          <w:rFonts w:ascii="Times New Roman" w:hAnsi="Times New Roman" w:cs="Times New Roman"/>
          <w:i/>
          <w:iCs/>
          <w:noProof/>
          <w:sz w:val="24"/>
          <w:szCs w:val="24"/>
        </w:rPr>
        <w:t>Journal of Management Development.</w:t>
      </w:r>
      <w:bookmarkStart w:id="4" w:name="_Hlk42067329"/>
    </w:p>
    <w:bookmarkEnd w:id="4"/>
    <w:p w14:paraId="60B187DD" w14:textId="18235AE6" w:rsidR="00B73468" w:rsidRPr="00A56158" w:rsidRDefault="00B73468" w:rsidP="00A56158">
      <w:pPr>
        <w:pStyle w:val="Bibliography"/>
        <w:spacing w:before="100" w:beforeAutospacing="1" w:after="100" w:afterAutospacing="1" w:line="480" w:lineRule="auto"/>
        <w:ind w:left="1004" w:hanging="720"/>
        <w:contextualSpacing/>
        <w:rPr>
          <w:rFonts w:ascii="Times New Roman" w:hAnsi="Times New Roman" w:cs="Times New Roman"/>
          <w:noProof/>
          <w:sz w:val="24"/>
          <w:szCs w:val="24"/>
        </w:rPr>
      </w:pPr>
      <w:r w:rsidRPr="00A56158">
        <w:rPr>
          <w:rFonts w:ascii="Times New Roman" w:hAnsi="Times New Roman" w:cs="Times New Roman"/>
          <w:noProof/>
          <w:sz w:val="24"/>
          <w:szCs w:val="24"/>
        </w:rPr>
        <w:t>Zeno, A. &amp; Gerner, M., 2012. "Cross hedging jet-fuel price exposure." Energy Economics</w:t>
      </w:r>
      <w:r w:rsidR="00A56158" w:rsidRPr="00A56158">
        <w:rPr>
          <w:rFonts w:ascii="Times New Roman" w:hAnsi="Times New Roman" w:cs="Times New Roman"/>
          <w:noProof/>
          <w:sz w:val="24"/>
          <w:szCs w:val="24"/>
        </w:rPr>
        <w:t>"</w:t>
      </w:r>
      <w:r w:rsidRPr="00A56158">
        <w:rPr>
          <w:rFonts w:ascii="Times New Roman" w:hAnsi="Times New Roman" w:cs="Times New Roman"/>
          <w:noProof/>
          <w:sz w:val="24"/>
          <w:szCs w:val="24"/>
        </w:rPr>
        <w:t xml:space="preserve">. </w:t>
      </w:r>
      <w:r w:rsidRPr="00A56158">
        <w:rPr>
          <w:rFonts w:ascii="Times New Roman" w:hAnsi="Times New Roman" w:cs="Times New Roman"/>
          <w:i/>
          <w:iCs/>
          <w:noProof/>
          <w:sz w:val="24"/>
          <w:szCs w:val="24"/>
        </w:rPr>
        <w:t xml:space="preserve">Energy Economics, </w:t>
      </w:r>
      <w:r w:rsidRPr="00A56158">
        <w:rPr>
          <w:rFonts w:ascii="Times New Roman" w:hAnsi="Times New Roman" w:cs="Times New Roman"/>
          <w:noProof/>
          <w:sz w:val="24"/>
          <w:szCs w:val="24"/>
        </w:rPr>
        <w:t>34(5), pp. 301-1309.</w:t>
      </w:r>
    </w:p>
    <w:p w14:paraId="1FC54544" w14:textId="15B606F3" w:rsidR="00DC1440" w:rsidRPr="00A56158" w:rsidRDefault="00B73468" w:rsidP="00A56158">
      <w:pPr>
        <w:spacing w:before="100" w:beforeAutospacing="1" w:after="100" w:afterAutospacing="1" w:line="480" w:lineRule="auto"/>
        <w:ind w:left="1004" w:hanging="720"/>
        <w:contextualSpacing/>
        <w:rPr>
          <w:rFonts w:ascii="Times New Roman" w:hAnsi="Times New Roman" w:cs="Times New Roman"/>
          <w:sz w:val="24"/>
          <w:szCs w:val="24"/>
        </w:rPr>
      </w:pPr>
      <w:r w:rsidRPr="00A56158">
        <w:rPr>
          <w:rFonts w:ascii="Times New Roman" w:hAnsi="Times New Roman" w:cs="Times New Roman"/>
          <w:sz w:val="24"/>
          <w:szCs w:val="24"/>
        </w:rPr>
        <w:fldChar w:fldCharType="end"/>
      </w:r>
    </w:p>
    <w:p w14:paraId="6DFF0A4E" w14:textId="77777777" w:rsidR="00DC1440" w:rsidRPr="00A56158" w:rsidRDefault="00DC1440" w:rsidP="007378C7">
      <w:pPr>
        <w:spacing w:line="480" w:lineRule="auto"/>
        <w:contextualSpacing/>
        <w:rPr>
          <w:rFonts w:ascii="Times New Roman" w:hAnsi="Times New Roman" w:cs="Times New Roman"/>
          <w:sz w:val="24"/>
          <w:szCs w:val="24"/>
        </w:rPr>
      </w:pPr>
    </w:p>
    <w:sectPr w:rsidR="00DC1440" w:rsidRPr="00A5615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B6C1D7" w14:textId="77777777" w:rsidR="00330A4E" w:rsidRDefault="00330A4E">
      <w:pPr>
        <w:spacing w:after="0" w:line="240" w:lineRule="auto"/>
      </w:pPr>
      <w:r>
        <w:separator/>
      </w:r>
    </w:p>
  </w:endnote>
  <w:endnote w:type="continuationSeparator" w:id="0">
    <w:p w14:paraId="4EFF8C5C" w14:textId="77777777" w:rsidR="00330A4E" w:rsidRDefault="00330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8D16C7" w14:textId="77777777" w:rsidR="00330A4E" w:rsidRDefault="00330A4E">
      <w:pPr>
        <w:spacing w:after="0" w:line="240" w:lineRule="auto"/>
      </w:pPr>
      <w:r>
        <w:separator/>
      </w:r>
    </w:p>
  </w:footnote>
  <w:footnote w:type="continuationSeparator" w:id="0">
    <w:p w14:paraId="3AC61290" w14:textId="77777777" w:rsidR="00330A4E" w:rsidRDefault="00330A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33878403"/>
      <w:docPartObj>
        <w:docPartGallery w:val="Page Numbers (Top of Page)"/>
        <w:docPartUnique/>
      </w:docPartObj>
    </w:sdtPr>
    <w:sdtEndPr>
      <w:rPr>
        <w:noProof/>
      </w:rPr>
    </w:sdtEndPr>
    <w:sdtContent>
      <w:p w14:paraId="43EF90D3" w14:textId="0BD0F24C" w:rsidR="00F0113F" w:rsidRPr="00644DA7" w:rsidRDefault="00947DBE">
        <w:pPr>
          <w:pStyle w:val="Header"/>
          <w:jc w:val="right"/>
          <w:rPr>
            <w:rFonts w:ascii="Times New Roman" w:hAnsi="Times New Roman" w:cs="Times New Roman"/>
            <w:sz w:val="24"/>
            <w:szCs w:val="24"/>
          </w:rPr>
        </w:pPr>
        <w:r>
          <w:rPr>
            <w:rFonts w:ascii="Times New Roman" w:hAnsi="Times New Roman" w:cs="Times New Roman"/>
            <w:sz w:val="24"/>
            <w:szCs w:val="24"/>
          </w:rPr>
          <w:t xml:space="preserve">DERIVATIVES AND RISK MANAGEMENT </w:t>
        </w:r>
        <w:r w:rsidR="00F0113F" w:rsidRPr="00644DA7">
          <w:rPr>
            <w:rFonts w:ascii="Times New Roman" w:hAnsi="Times New Roman" w:cs="Times New Roman"/>
            <w:sz w:val="24"/>
            <w:szCs w:val="24"/>
          </w:rPr>
          <w:t xml:space="preserve"> </w:t>
        </w:r>
        <w:r w:rsidR="00F0113F" w:rsidRPr="00644DA7">
          <w:rPr>
            <w:rFonts w:ascii="Times New Roman" w:hAnsi="Times New Roman" w:cs="Times New Roman"/>
            <w:sz w:val="24"/>
            <w:szCs w:val="24"/>
          </w:rPr>
          <w:fldChar w:fldCharType="begin"/>
        </w:r>
        <w:r w:rsidR="00F0113F" w:rsidRPr="00644DA7">
          <w:rPr>
            <w:rFonts w:ascii="Times New Roman" w:hAnsi="Times New Roman" w:cs="Times New Roman"/>
            <w:sz w:val="24"/>
            <w:szCs w:val="24"/>
          </w:rPr>
          <w:instrText xml:space="preserve"> PAGE   \* MERGEFORMAT </w:instrText>
        </w:r>
        <w:r w:rsidR="00F0113F" w:rsidRPr="00644DA7">
          <w:rPr>
            <w:rFonts w:ascii="Times New Roman" w:hAnsi="Times New Roman" w:cs="Times New Roman"/>
            <w:sz w:val="24"/>
            <w:szCs w:val="24"/>
          </w:rPr>
          <w:fldChar w:fldCharType="separate"/>
        </w:r>
        <w:r w:rsidR="000429E6">
          <w:rPr>
            <w:rFonts w:ascii="Times New Roman" w:hAnsi="Times New Roman" w:cs="Times New Roman"/>
            <w:noProof/>
            <w:sz w:val="24"/>
            <w:szCs w:val="24"/>
          </w:rPr>
          <w:t>59</w:t>
        </w:r>
        <w:r w:rsidR="00F0113F" w:rsidRPr="00644DA7">
          <w:rPr>
            <w:rFonts w:ascii="Times New Roman" w:hAnsi="Times New Roman" w:cs="Times New Roman"/>
            <w:noProof/>
            <w:sz w:val="24"/>
            <w:szCs w:val="24"/>
          </w:rPr>
          <w:fldChar w:fldCharType="end"/>
        </w:r>
      </w:p>
    </w:sdtContent>
  </w:sdt>
  <w:p w14:paraId="5893CDE3" w14:textId="77777777" w:rsidR="00F0113F" w:rsidRPr="00644DA7" w:rsidRDefault="00F0113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33694"/>
    <w:multiLevelType w:val="hybridMultilevel"/>
    <w:tmpl w:val="2CE60376"/>
    <w:lvl w:ilvl="0" w:tplc="E738CF1A">
      <w:start w:val="1"/>
      <w:numFmt w:val="bullet"/>
      <w:lvlText w:val=""/>
      <w:lvlJc w:val="left"/>
      <w:pPr>
        <w:ind w:left="720" w:hanging="360"/>
      </w:pPr>
      <w:rPr>
        <w:rFonts w:ascii="Symbol" w:hAnsi="Symbol" w:hint="default"/>
      </w:rPr>
    </w:lvl>
    <w:lvl w:ilvl="1" w:tplc="A866FCC6" w:tentative="1">
      <w:start w:val="1"/>
      <w:numFmt w:val="bullet"/>
      <w:lvlText w:val="o"/>
      <w:lvlJc w:val="left"/>
      <w:pPr>
        <w:ind w:left="1440" w:hanging="360"/>
      </w:pPr>
      <w:rPr>
        <w:rFonts w:ascii="Courier New" w:hAnsi="Courier New" w:cs="Courier New" w:hint="default"/>
      </w:rPr>
    </w:lvl>
    <w:lvl w:ilvl="2" w:tplc="F7B6BFDA" w:tentative="1">
      <w:start w:val="1"/>
      <w:numFmt w:val="bullet"/>
      <w:lvlText w:val=""/>
      <w:lvlJc w:val="left"/>
      <w:pPr>
        <w:ind w:left="2160" w:hanging="360"/>
      </w:pPr>
      <w:rPr>
        <w:rFonts w:ascii="Wingdings" w:hAnsi="Wingdings" w:hint="default"/>
      </w:rPr>
    </w:lvl>
    <w:lvl w:ilvl="3" w:tplc="BD0AE248" w:tentative="1">
      <w:start w:val="1"/>
      <w:numFmt w:val="bullet"/>
      <w:lvlText w:val=""/>
      <w:lvlJc w:val="left"/>
      <w:pPr>
        <w:ind w:left="2880" w:hanging="360"/>
      </w:pPr>
      <w:rPr>
        <w:rFonts w:ascii="Symbol" w:hAnsi="Symbol" w:hint="default"/>
      </w:rPr>
    </w:lvl>
    <w:lvl w:ilvl="4" w:tplc="9886E970" w:tentative="1">
      <w:start w:val="1"/>
      <w:numFmt w:val="bullet"/>
      <w:lvlText w:val="o"/>
      <w:lvlJc w:val="left"/>
      <w:pPr>
        <w:ind w:left="3600" w:hanging="360"/>
      </w:pPr>
      <w:rPr>
        <w:rFonts w:ascii="Courier New" w:hAnsi="Courier New" w:cs="Courier New" w:hint="default"/>
      </w:rPr>
    </w:lvl>
    <w:lvl w:ilvl="5" w:tplc="2B62A9D6" w:tentative="1">
      <w:start w:val="1"/>
      <w:numFmt w:val="bullet"/>
      <w:lvlText w:val=""/>
      <w:lvlJc w:val="left"/>
      <w:pPr>
        <w:ind w:left="4320" w:hanging="360"/>
      </w:pPr>
      <w:rPr>
        <w:rFonts w:ascii="Wingdings" w:hAnsi="Wingdings" w:hint="default"/>
      </w:rPr>
    </w:lvl>
    <w:lvl w:ilvl="6" w:tplc="22184154" w:tentative="1">
      <w:start w:val="1"/>
      <w:numFmt w:val="bullet"/>
      <w:lvlText w:val=""/>
      <w:lvlJc w:val="left"/>
      <w:pPr>
        <w:ind w:left="5040" w:hanging="360"/>
      </w:pPr>
      <w:rPr>
        <w:rFonts w:ascii="Symbol" w:hAnsi="Symbol" w:hint="default"/>
      </w:rPr>
    </w:lvl>
    <w:lvl w:ilvl="7" w:tplc="B2668B36" w:tentative="1">
      <w:start w:val="1"/>
      <w:numFmt w:val="bullet"/>
      <w:lvlText w:val="o"/>
      <w:lvlJc w:val="left"/>
      <w:pPr>
        <w:ind w:left="5760" w:hanging="360"/>
      </w:pPr>
      <w:rPr>
        <w:rFonts w:ascii="Courier New" w:hAnsi="Courier New" w:cs="Courier New" w:hint="default"/>
      </w:rPr>
    </w:lvl>
    <w:lvl w:ilvl="8" w:tplc="38DCBCB6" w:tentative="1">
      <w:start w:val="1"/>
      <w:numFmt w:val="bullet"/>
      <w:lvlText w:val=""/>
      <w:lvlJc w:val="left"/>
      <w:pPr>
        <w:ind w:left="6480" w:hanging="360"/>
      </w:pPr>
      <w:rPr>
        <w:rFonts w:ascii="Wingdings" w:hAnsi="Wingdings" w:hint="default"/>
      </w:rPr>
    </w:lvl>
  </w:abstractNum>
  <w:abstractNum w:abstractNumId="1" w15:restartNumberingAfterBreak="0">
    <w:nsid w:val="28F5054C"/>
    <w:multiLevelType w:val="hybridMultilevel"/>
    <w:tmpl w:val="4D426D7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20162D"/>
    <w:multiLevelType w:val="hybridMultilevel"/>
    <w:tmpl w:val="2C365E98"/>
    <w:lvl w:ilvl="0" w:tplc="D5E65A8C">
      <w:start w:val="1"/>
      <w:numFmt w:val="decimal"/>
      <w:lvlText w:val="%1."/>
      <w:lvlJc w:val="left"/>
      <w:pPr>
        <w:ind w:left="1364" w:hanging="36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3" w15:restartNumberingAfterBreak="0">
    <w:nsid w:val="35997600"/>
    <w:multiLevelType w:val="hybridMultilevel"/>
    <w:tmpl w:val="06D436B6"/>
    <w:lvl w:ilvl="0" w:tplc="312CCF26">
      <w:start w:val="1"/>
      <w:numFmt w:val="lowerLetter"/>
      <w:lvlText w:val="(%1)"/>
      <w:lvlJc w:val="left"/>
      <w:pPr>
        <w:ind w:left="720" w:hanging="360"/>
      </w:pPr>
      <w:rPr>
        <w:rFonts w:hint="default"/>
      </w:rPr>
    </w:lvl>
    <w:lvl w:ilvl="1" w:tplc="5A3ADEA4" w:tentative="1">
      <w:start w:val="1"/>
      <w:numFmt w:val="lowerLetter"/>
      <w:lvlText w:val="%2."/>
      <w:lvlJc w:val="left"/>
      <w:pPr>
        <w:ind w:left="1440" w:hanging="360"/>
      </w:pPr>
    </w:lvl>
    <w:lvl w:ilvl="2" w:tplc="CE44AADC" w:tentative="1">
      <w:start w:val="1"/>
      <w:numFmt w:val="lowerRoman"/>
      <w:lvlText w:val="%3."/>
      <w:lvlJc w:val="right"/>
      <w:pPr>
        <w:ind w:left="2160" w:hanging="180"/>
      </w:pPr>
    </w:lvl>
    <w:lvl w:ilvl="3" w:tplc="6DA24AFA" w:tentative="1">
      <w:start w:val="1"/>
      <w:numFmt w:val="decimal"/>
      <w:lvlText w:val="%4."/>
      <w:lvlJc w:val="left"/>
      <w:pPr>
        <w:ind w:left="2880" w:hanging="360"/>
      </w:pPr>
    </w:lvl>
    <w:lvl w:ilvl="4" w:tplc="B4B054CC" w:tentative="1">
      <w:start w:val="1"/>
      <w:numFmt w:val="lowerLetter"/>
      <w:lvlText w:val="%5."/>
      <w:lvlJc w:val="left"/>
      <w:pPr>
        <w:ind w:left="3600" w:hanging="360"/>
      </w:pPr>
    </w:lvl>
    <w:lvl w:ilvl="5" w:tplc="7166F6AE" w:tentative="1">
      <w:start w:val="1"/>
      <w:numFmt w:val="lowerRoman"/>
      <w:lvlText w:val="%6."/>
      <w:lvlJc w:val="right"/>
      <w:pPr>
        <w:ind w:left="4320" w:hanging="180"/>
      </w:pPr>
    </w:lvl>
    <w:lvl w:ilvl="6" w:tplc="225A1838" w:tentative="1">
      <w:start w:val="1"/>
      <w:numFmt w:val="decimal"/>
      <w:lvlText w:val="%7."/>
      <w:lvlJc w:val="left"/>
      <w:pPr>
        <w:ind w:left="5040" w:hanging="360"/>
      </w:pPr>
    </w:lvl>
    <w:lvl w:ilvl="7" w:tplc="7B26FA04" w:tentative="1">
      <w:start w:val="1"/>
      <w:numFmt w:val="lowerLetter"/>
      <w:lvlText w:val="%8."/>
      <w:lvlJc w:val="left"/>
      <w:pPr>
        <w:ind w:left="5760" w:hanging="360"/>
      </w:pPr>
    </w:lvl>
    <w:lvl w:ilvl="8" w:tplc="1A34A68E" w:tentative="1">
      <w:start w:val="1"/>
      <w:numFmt w:val="lowerRoman"/>
      <w:lvlText w:val="%9."/>
      <w:lvlJc w:val="right"/>
      <w:pPr>
        <w:ind w:left="6480" w:hanging="180"/>
      </w:pPr>
    </w:lvl>
  </w:abstractNum>
  <w:abstractNum w:abstractNumId="4" w15:restartNumberingAfterBreak="0">
    <w:nsid w:val="386B23B2"/>
    <w:multiLevelType w:val="hybridMultilevel"/>
    <w:tmpl w:val="45C85E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EC4367"/>
    <w:multiLevelType w:val="hybridMultilevel"/>
    <w:tmpl w:val="0772FE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F336B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4A057387"/>
    <w:multiLevelType w:val="hybridMultilevel"/>
    <w:tmpl w:val="86FCE3B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9B57C9"/>
    <w:multiLevelType w:val="hybridMultilevel"/>
    <w:tmpl w:val="98A8D43C"/>
    <w:lvl w:ilvl="0" w:tplc="48EE383C">
      <w:start w:val="1"/>
      <w:numFmt w:val="decimal"/>
      <w:lvlText w:val="%1."/>
      <w:lvlJc w:val="left"/>
      <w:pPr>
        <w:ind w:left="720" w:hanging="360"/>
      </w:pPr>
      <w:rPr>
        <w:rFonts w:hint="default"/>
      </w:rPr>
    </w:lvl>
    <w:lvl w:ilvl="1" w:tplc="E63E5FB8" w:tentative="1">
      <w:start w:val="1"/>
      <w:numFmt w:val="lowerLetter"/>
      <w:lvlText w:val="%2."/>
      <w:lvlJc w:val="left"/>
      <w:pPr>
        <w:ind w:left="1440" w:hanging="360"/>
      </w:pPr>
    </w:lvl>
    <w:lvl w:ilvl="2" w:tplc="729673C6" w:tentative="1">
      <w:start w:val="1"/>
      <w:numFmt w:val="lowerRoman"/>
      <w:lvlText w:val="%3."/>
      <w:lvlJc w:val="right"/>
      <w:pPr>
        <w:ind w:left="2160" w:hanging="180"/>
      </w:pPr>
    </w:lvl>
    <w:lvl w:ilvl="3" w:tplc="D5D04872" w:tentative="1">
      <w:start w:val="1"/>
      <w:numFmt w:val="decimal"/>
      <w:lvlText w:val="%4."/>
      <w:lvlJc w:val="left"/>
      <w:pPr>
        <w:ind w:left="2880" w:hanging="360"/>
      </w:pPr>
    </w:lvl>
    <w:lvl w:ilvl="4" w:tplc="A912C79A" w:tentative="1">
      <w:start w:val="1"/>
      <w:numFmt w:val="lowerLetter"/>
      <w:lvlText w:val="%5."/>
      <w:lvlJc w:val="left"/>
      <w:pPr>
        <w:ind w:left="3600" w:hanging="360"/>
      </w:pPr>
    </w:lvl>
    <w:lvl w:ilvl="5" w:tplc="EEE6A65A" w:tentative="1">
      <w:start w:val="1"/>
      <w:numFmt w:val="lowerRoman"/>
      <w:lvlText w:val="%6."/>
      <w:lvlJc w:val="right"/>
      <w:pPr>
        <w:ind w:left="4320" w:hanging="180"/>
      </w:pPr>
    </w:lvl>
    <w:lvl w:ilvl="6" w:tplc="3A621F58" w:tentative="1">
      <w:start w:val="1"/>
      <w:numFmt w:val="decimal"/>
      <w:lvlText w:val="%7."/>
      <w:lvlJc w:val="left"/>
      <w:pPr>
        <w:ind w:left="5040" w:hanging="360"/>
      </w:pPr>
    </w:lvl>
    <w:lvl w:ilvl="7" w:tplc="EED87B2E" w:tentative="1">
      <w:start w:val="1"/>
      <w:numFmt w:val="lowerLetter"/>
      <w:lvlText w:val="%8."/>
      <w:lvlJc w:val="left"/>
      <w:pPr>
        <w:ind w:left="5760" w:hanging="360"/>
      </w:pPr>
    </w:lvl>
    <w:lvl w:ilvl="8" w:tplc="3A3C695E" w:tentative="1">
      <w:start w:val="1"/>
      <w:numFmt w:val="lowerRoman"/>
      <w:lvlText w:val="%9."/>
      <w:lvlJc w:val="right"/>
      <w:pPr>
        <w:ind w:left="6480" w:hanging="180"/>
      </w:pPr>
    </w:lvl>
  </w:abstractNum>
  <w:abstractNum w:abstractNumId="9" w15:restartNumberingAfterBreak="0">
    <w:nsid w:val="514C295B"/>
    <w:multiLevelType w:val="hybridMultilevel"/>
    <w:tmpl w:val="6D364F7C"/>
    <w:lvl w:ilvl="0" w:tplc="3722A410">
      <w:start w:val="1"/>
      <w:numFmt w:val="bullet"/>
      <w:lvlText w:val=""/>
      <w:lvlJc w:val="left"/>
      <w:pPr>
        <w:ind w:left="720" w:hanging="360"/>
      </w:pPr>
      <w:rPr>
        <w:rFonts w:ascii="Symbol" w:hAnsi="Symbol" w:hint="default"/>
      </w:rPr>
    </w:lvl>
    <w:lvl w:ilvl="1" w:tplc="8286C110" w:tentative="1">
      <w:start w:val="1"/>
      <w:numFmt w:val="bullet"/>
      <w:lvlText w:val="o"/>
      <w:lvlJc w:val="left"/>
      <w:pPr>
        <w:ind w:left="1440" w:hanging="360"/>
      </w:pPr>
      <w:rPr>
        <w:rFonts w:ascii="Courier New" w:hAnsi="Courier New" w:cs="Courier New" w:hint="default"/>
      </w:rPr>
    </w:lvl>
    <w:lvl w:ilvl="2" w:tplc="F8C2C222" w:tentative="1">
      <w:start w:val="1"/>
      <w:numFmt w:val="bullet"/>
      <w:lvlText w:val=""/>
      <w:lvlJc w:val="left"/>
      <w:pPr>
        <w:ind w:left="2160" w:hanging="360"/>
      </w:pPr>
      <w:rPr>
        <w:rFonts w:ascii="Wingdings" w:hAnsi="Wingdings" w:hint="default"/>
      </w:rPr>
    </w:lvl>
    <w:lvl w:ilvl="3" w:tplc="4202C992" w:tentative="1">
      <w:start w:val="1"/>
      <w:numFmt w:val="bullet"/>
      <w:lvlText w:val=""/>
      <w:lvlJc w:val="left"/>
      <w:pPr>
        <w:ind w:left="2880" w:hanging="360"/>
      </w:pPr>
      <w:rPr>
        <w:rFonts w:ascii="Symbol" w:hAnsi="Symbol" w:hint="default"/>
      </w:rPr>
    </w:lvl>
    <w:lvl w:ilvl="4" w:tplc="98D25802" w:tentative="1">
      <w:start w:val="1"/>
      <w:numFmt w:val="bullet"/>
      <w:lvlText w:val="o"/>
      <w:lvlJc w:val="left"/>
      <w:pPr>
        <w:ind w:left="3600" w:hanging="360"/>
      </w:pPr>
      <w:rPr>
        <w:rFonts w:ascii="Courier New" w:hAnsi="Courier New" w:cs="Courier New" w:hint="default"/>
      </w:rPr>
    </w:lvl>
    <w:lvl w:ilvl="5" w:tplc="D2DE2CE2" w:tentative="1">
      <w:start w:val="1"/>
      <w:numFmt w:val="bullet"/>
      <w:lvlText w:val=""/>
      <w:lvlJc w:val="left"/>
      <w:pPr>
        <w:ind w:left="4320" w:hanging="360"/>
      </w:pPr>
      <w:rPr>
        <w:rFonts w:ascii="Wingdings" w:hAnsi="Wingdings" w:hint="default"/>
      </w:rPr>
    </w:lvl>
    <w:lvl w:ilvl="6" w:tplc="5F269E54" w:tentative="1">
      <w:start w:val="1"/>
      <w:numFmt w:val="bullet"/>
      <w:lvlText w:val=""/>
      <w:lvlJc w:val="left"/>
      <w:pPr>
        <w:ind w:left="5040" w:hanging="360"/>
      </w:pPr>
      <w:rPr>
        <w:rFonts w:ascii="Symbol" w:hAnsi="Symbol" w:hint="default"/>
      </w:rPr>
    </w:lvl>
    <w:lvl w:ilvl="7" w:tplc="81201602" w:tentative="1">
      <w:start w:val="1"/>
      <w:numFmt w:val="bullet"/>
      <w:lvlText w:val="o"/>
      <w:lvlJc w:val="left"/>
      <w:pPr>
        <w:ind w:left="5760" w:hanging="360"/>
      </w:pPr>
      <w:rPr>
        <w:rFonts w:ascii="Courier New" w:hAnsi="Courier New" w:cs="Courier New" w:hint="default"/>
      </w:rPr>
    </w:lvl>
    <w:lvl w:ilvl="8" w:tplc="9B161E22" w:tentative="1">
      <w:start w:val="1"/>
      <w:numFmt w:val="bullet"/>
      <w:lvlText w:val=""/>
      <w:lvlJc w:val="left"/>
      <w:pPr>
        <w:ind w:left="6480" w:hanging="360"/>
      </w:pPr>
      <w:rPr>
        <w:rFonts w:ascii="Wingdings" w:hAnsi="Wingdings" w:hint="default"/>
      </w:rPr>
    </w:lvl>
  </w:abstractNum>
  <w:abstractNum w:abstractNumId="10" w15:restartNumberingAfterBreak="0">
    <w:nsid w:val="6C6062BC"/>
    <w:multiLevelType w:val="hybridMultilevel"/>
    <w:tmpl w:val="468E193A"/>
    <w:lvl w:ilvl="0" w:tplc="10AE5584">
      <w:start w:val="1"/>
      <w:numFmt w:val="bullet"/>
      <w:lvlText w:val=""/>
      <w:lvlJc w:val="left"/>
      <w:pPr>
        <w:ind w:left="720" w:hanging="360"/>
      </w:pPr>
      <w:rPr>
        <w:rFonts w:ascii="Symbol" w:hAnsi="Symbol" w:hint="default"/>
      </w:rPr>
    </w:lvl>
    <w:lvl w:ilvl="1" w:tplc="15FEEF96" w:tentative="1">
      <w:start w:val="1"/>
      <w:numFmt w:val="bullet"/>
      <w:lvlText w:val="o"/>
      <w:lvlJc w:val="left"/>
      <w:pPr>
        <w:ind w:left="1440" w:hanging="360"/>
      </w:pPr>
      <w:rPr>
        <w:rFonts w:ascii="Courier New" w:hAnsi="Courier New" w:cs="Courier New" w:hint="default"/>
      </w:rPr>
    </w:lvl>
    <w:lvl w:ilvl="2" w:tplc="D848F9A4" w:tentative="1">
      <w:start w:val="1"/>
      <w:numFmt w:val="bullet"/>
      <w:lvlText w:val=""/>
      <w:lvlJc w:val="left"/>
      <w:pPr>
        <w:ind w:left="2160" w:hanging="360"/>
      </w:pPr>
      <w:rPr>
        <w:rFonts w:ascii="Wingdings" w:hAnsi="Wingdings" w:hint="default"/>
      </w:rPr>
    </w:lvl>
    <w:lvl w:ilvl="3" w:tplc="B4B64012" w:tentative="1">
      <w:start w:val="1"/>
      <w:numFmt w:val="bullet"/>
      <w:lvlText w:val=""/>
      <w:lvlJc w:val="left"/>
      <w:pPr>
        <w:ind w:left="2880" w:hanging="360"/>
      </w:pPr>
      <w:rPr>
        <w:rFonts w:ascii="Symbol" w:hAnsi="Symbol" w:hint="default"/>
      </w:rPr>
    </w:lvl>
    <w:lvl w:ilvl="4" w:tplc="7E88A5EE" w:tentative="1">
      <w:start w:val="1"/>
      <w:numFmt w:val="bullet"/>
      <w:lvlText w:val="o"/>
      <w:lvlJc w:val="left"/>
      <w:pPr>
        <w:ind w:left="3600" w:hanging="360"/>
      </w:pPr>
      <w:rPr>
        <w:rFonts w:ascii="Courier New" w:hAnsi="Courier New" w:cs="Courier New" w:hint="default"/>
      </w:rPr>
    </w:lvl>
    <w:lvl w:ilvl="5" w:tplc="45DEED2A" w:tentative="1">
      <w:start w:val="1"/>
      <w:numFmt w:val="bullet"/>
      <w:lvlText w:val=""/>
      <w:lvlJc w:val="left"/>
      <w:pPr>
        <w:ind w:left="4320" w:hanging="360"/>
      </w:pPr>
      <w:rPr>
        <w:rFonts w:ascii="Wingdings" w:hAnsi="Wingdings" w:hint="default"/>
      </w:rPr>
    </w:lvl>
    <w:lvl w:ilvl="6" w:tplc="06149D36" w:tentative="1">
      <w:start w:val="1"/>
      <w:numFmt w:val="bullet"/>
      <w:lvlText w:val=""/>
      <w:lvlJc w:val="left"/>
      <w:pPr>
        <w:ind w:left="5040" w:hanging="360"/>
      </w:pPr>
      <w:rPr>
        <w:rFonts w:ascii="Symbol" w:hAnsi="Symbol" w:hint="default"/>
      </w:rPr>
    </w:lvl>
    <w:lvl w:ilvl="7" w:tplc="9CD06ED6" w:tentative="1">
      <w:start w:val="1"/>
      <w:numFmt w:val="bullet"/>
      <w:lvlText w:val="o"/>
      <w:lvlJc w:val="left"/>
      <w:pPr>
        <w:ind w:left="5760" w:hanging="360"/>
      </w:pPr>
      <w:rPr>
        <w:rFonts w:ascii="Courier New" w:hAnsi="Courier New" w:cs="Courier New" w:hint="default"/>
      </w:rPr>
    </w:lvl>
    <w:lvl w:ilvl="8" w:tplc="8B76A242" w:tentative="1">
      <w:start w:val="1"/>
      <w:numFmt w:val="bullet"/>
      <w:lvlText w:val=""/>
      <w:lvlJc w:val="left"/>
      <w:pPr>
        <w:ind w:left="6480" w:hanging="360"/>
      </w:pPr>
      <w:rPr>
        <w:rFonts w:ascii="Wingdings" w:hAnsi="Wingdings" w:hint="default"/>
      </w:rPr>
    </w:lvl>
  </w:abstractNum>
  <w:abstractNum w:abstractNumId="11" w15:restartNumberingAfterBreak="0">
    <w:nsid w:val="6E465423"/>
    <w:multiLevelType w:val="multilevel"/>
    <w:tmpl w:val="2C042292"/>
    <w:lvl w:ilvl="0">
      <w:start w:val="7"/>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FAC7667"/>
    <w:multiLevelType w:val="hybridMultilevel"/>
    <w:tmpl w:val="5EB810C0"/>
    <w:lvl w:ilvl="0" w:tplc="ED2E952C">
      <w:start w:val="1"/>
      <w:numFmt w:val="bullet"/>
      <w:lvlText w:val=""/>
      <w:lvlJc w:val="left"/>
      <w:pPr>
        <w:ind w:left="720" w:hanging="360"/>
      </w:pPr>
      <w:rPr>
        <w:rFonts w:ascii="Wingdings" w:hAnsi="Wingdings" w:hint="default"/>
      </w:rPr>
    </w:lvl>
    <w:lvl w:ilvl="1" w:tplc="2DCEAF08" w:tentative="1">
      <w:start w:val="1"/>
      <w:numFmt w:val="bullet"/>
      <w:lvlText w:val="o"/>
      <w:lvlJc w:val="left"/>
      <w:pPr>
        <w:ind w:left="1440" w:hanging="360"/>
      </w:pPr>
      <w:rPr>
        <w:rFonts w:ascii="Courier New" w:hAnsi="Courier New" w:cs="Courier New" w:hint="default"/>
      </w:rPr>
    </w:lvl>
    <w:lvl w:ilvl="2" w:tplc="6432270A" w:tentative="1">
      <w:start w:val="1"/>
      <w:numFmt w:val="bullet"/>
      <w:lvlText w:val=""/>
      <w:lvlJc w:val="left"/>
      <w:pPr>
        <w:ind w:left="2160" w:hanging="360"/>
      </w:pPr>
      <w:rPr>
        <w:rFonts w:ascii="Wingdings" w:hAnsi="Wingdings" w:hint="default"/>
      </w:rPr>
    </w:lvl>
    <w:lvl w:ilvl="3" w:tplc="F7841B3C" w:tentative="1">
      <w:start w:val="1"/>
      <w:numFmt w:val="bullet"/>
      <w:lvlText w:val=""/>
      <w:lvlJc w:val="left"/>
      <w:pPr>
        <w:ind w:left="2880" w:hanging="360"/>
      </w:pPr>
      <w:rPr>
        <w:rFonts w:ascii="Symbol" w:hAnsi="Symbol" w:hint="default"/>
      </w:rPr>
    </w:lvl>
    <w:lvl w:ilvl="4" w:tplc="21BA5C74" w:tentative="1">
      <w:start w:val="1"/>
      <w:numFmt w:val="bullet"/>
      <w:lvlText w:val="o"/>
      <w:lvlJc w:val="left"/>
      <w:pPr>
        <w:ind w:left="3600" w:hanging="360"/>
      </w:pPr>
      <w:rPr>
        <w:rFonts w:ascii="Courier New" w:hAnsi="Courier New" w:cs="Courier New" w:hint="default"/>
      </w:rPr>
    </w:lvl>
    <w:lvl w:ilvl="5" w:tplc="38125584" w:tentative="1">
      <w:start w:val="1"/>
      <w:numFmt w:val="bullet"/>
      <w:lvlText w:val=""/>
      <w:lvlJc w:val="left"/>
      <w:pPr>
        <w:ind w:left="4320" w:hanging="360"/>
      </w:pPr>
      <w:rPr>
        <w:rFonts w:ascii="Wingdings" w:hAnsi="Wingdings" w:hint="default"/>
      </w:rPr>
    </w:lvl>
    <w:lvl w:ilvl="6" w:tplc="3688682E" w:tentative="1">
      <w:start w:val="1"/>
      <w:numFmt w:val="bullet"/>
      <w:lvlText w:val=""/>
      <w:lvlJc w:val="left"/>
      <w:pPr>
        <w:ind w:left="5040" w:hanging="360"/>
      </w:pPr>
      <w:rPr>
        <w:rFonts w:ascii="Symbol" w:hAnsi="Symbol" w:hint="default"/>
      </w:rPr>
    </w:lvl>
    <w:lvl w:ilvl="7" w:tplc="096E224A" w:tentative="1">
      <w:start w:val="1"/>
      <w:numFmt w:val="bullet"/>
      <w:lvlText w:val="o"/>
      <w:lvlJc w:val="left"/>
      <w:pPr>
        <w:ind w:left="5760" w:hanging="360"/>
      </w:pPr>
      <w:rPr>
        <w:rFonts w:ascii="Courier New" w:hAnsi="Courier New" w:cs="Courier New" w:hint="default"/>
      </w:rPr>
    </w:lvl>
    <w:lvl w:ilvl="8" w:tplc="E402D7EE" w:tentative="1">
      <w:start w:val="1"/>
      <w:numFmt w:val="bullet"/>
      <w:lvlText w:val=""/>
      <w:lvlJc w:val="left"/>
      <w:pPr>
        <w:ind w:left="6480" w:hanging="360"/>
      </w:pPr>
      <w:rPr>
        <w:rFonts w:ascii="Wingdings" w:hAnsi="Wingdings" w:hint="default"/>
      </w:rPr>
    </w:lvl>
  </w:abstractNum>
  <w:abstractNum w:abstractNumId="13" w15:restartNumberingAfterBreak="0">
    <w:nsid w:val="74CE4CA0"/>
    <w:multiLevelType w:val="hybridMultilevel"/>
    <w:tmpl w:val="AB52D3A4"/>
    <w:lvl w:ilvl="0" w:tplc="9140D348">
      <w:start w:val="1"/>
      <w:numFmt w:val="bullet"/>
      <w:lvlText w:val=""/>
      <w:lvlJc w:val="left"/>
      <w:pPr>
        <w:ind w:left="720" w:hanging="360"/>
      </w:pPr>
      <w:rPr>
        <w:rFonts w:ascii="Wingdings" w:hAnsi="Wingdings" w:hint="default"/>
      </w:rPr>
    </w:lvl>
    <w:lvl w:ilvl="1" w:tplc="169EFC94" w:tentative="1">
      <w:start w:val="1"/>
      <w:numFmt w:val="bullet"/>
      <w:lvlText w:val="o"/>
      <w:lvlJc w:val="left"/>
      <w:pPr>
        <w:ind w:left="1440" w:hanging="360"/>
      </w:pPr>
      <w:rPr>
        <w:rFonts w:ascii="Courier New" w:hAnsi="Courier New" w:cs="Courier New" w:hint="default"/>
      </w:rPr>
    </w:lvl>
    <w:lvl w:ilvl="2" w:tplc="661EF516" w:tentative="1">
      <w:start w:val="1"/>
      <w:numFmt w:val="bullet"/>
      <w:lvlText w:val=""/>
      <w:lvlJc w:val="left"/>
      <w:pPr>
        <w:ind w:left="2160" w:hanging="360"/>
      </w:pPr>
      <w:rPr>
        <w:rFonts w:ascii="Wingdings" w:hAnsi="Wingdings" w:hint="default"/>
      </w:rPr>
    </w:lvl>
    <w:lvl w:ilvl="3" w:tplc="F210E69C" w:tentative="1">
      <w:start w:val="1"/>
      <w:numFmt w:val="bullet"/>
      <w:lvlText w:val=""/>
      <w:lvlJc w:val="left"/>
      <w:pPr>
        <w:ind w:left="2880" w:hanging="360"/>
      </w:pPr>
      <w:rPr>
        <w:rFonts w:ascii="Symbol" w:hAnsi="Symbol" w:hint="default"/>
      </w:rPr>
    </w:lvl>
    <w:lvl w:ilvl="4" w:tplc="99D05D2C" w:tentative="1">
      <w:start w:val="1"/>
      <w:numFmt w:val="bullet"/>
      <w:lvlText w:val="o"/>
      <w:lvlJc w:val="left"/>
      <w:pPr>
        <w:ind w:left="3600" w:hanging="360"/>
      </w:pPr>
      <w:rPr>
        <w:rFonts w:ascii="Courier New" w:hAnsi="Courier New" w:cs="Courier New" w:hint="default"/>
      </w:rPr>
    </w:lvl>
    <w:lvl w:ilvl="5" w:tplc="CA9445FA" w:tentative="1">
      <w:start w:val="1"/>
      <w:numFmt w:val="bullet"/>
      <w:lvlText w:val=""/>
      <w:lvlJc w:val="left"/>
      <w:pPr>
        <w:ind w:left="4320" w:hanging="360"/>
      </w:pPr>
      <w:rPr>
        <w:rFonts w:ascii="Wingdings" w:hAnsi="Wingdings" w:hint="default"/>
      </w:rPr>
    </w:lvl>
    <w:lvl w:ilvl="6" w:tplc="D6889D76" w:tentative="1">
      <w:start w:val="1"/>
      <w:numFmt w:val="bullet"/>
      <w:lvlText w:val=""/>
      <w:lvlJc w:val="left"/>
      <w:pPr>
        <w:ind w:left="5040" w:hanging="360"/>
      </w:pPr>
      <w:rPr>
        <w:rFonts w:ascii="Symbol" w:hAnsi="Symbol" w:hint="default"/>
      </w:rPr>
    </w:lvl>
    <w:lvl w:ilvl="7" w:tplc="5FCEEF0A" w:tentative="1">
      <w:start w:val="1"/>
      <w:numFmt w:val="bullet"/>
      <w:lvlText w:val="o"/>
      <w:lvlJc w:val="left"/>
      <w:pPr>
        <w:ind w:left="5760" w:hanging="360"/>
      </w:pPr>
      <w:rPr>
        <w:rFonts w:ascii="Courier New" w:hAnsi="Courier New" w:cs="Courier New" w:hint="default"/>
      </w:rPr>
    </w:lvl>
    <w:lvl w:ilvl="8" w:tplc="E2EC013E" w:tentative="1">
      <w:start w:val="1"/>
      <w:numFmt w:val="bullet"/>
      <w:lvlText w:val=""/>
      <w:lvlJc w:val="left"/>
      <w:pPr>
        <w:ind w:left="6480" w:hanging="360"/>
      </w:pPr>
      <w:rPr>
        <w:rFonts w:ascii="Wingdings" w:hAnsi="Wingdings" w:hint="default"/>
      </w:rPr>
    </w:lvl>
  </w:abstractNum>
  <w:abstractNum w:abstractNumId="14" w15:restartNumberingAfterBreak="0">
    <w:nsid w:val="785E01F0"/>
    <w:multiLevelType w:val="hybridMultilevel"/>
    <w:tmpl w:val="144AE31C"/>
    <w:lvl w:ilvl="0" w:tplc="3E70D5F6">
      <w:start w:val="1"/>
      <w:numFmt w:val="bullet"/>
      <w:lvlText w:val=""/>
      <w:lvlJc w:val="left"/>
      <w:pPr>
        <w:ind w:left="720" w:hanging="360"/>
      </w:pPr>
      <w:rPr>
        <w:rFonts w:ascii="Symbol" w:hAnsi="Symbol" w:hint="default"/>
      </w:rPr>
    </w:lvl>
    <w:lvl w:ilvl="1" w:tplc="F88CDCA8" w:tentative="1">
      <w:start w:val="1"/>
      <w:numFmt w:val="bullet"/>
      <w:lvlText w:val="o"/>
      <w:lvlJc w:val="left"/>
      <w:pPr>
        <w:ind w:left="1440" w:hanging="360"/>
      </w:pPr>
      <w:rPr>
        <w:rFonts w:ascii="Courier New" w:hAnsi="Courier New" w:cs="Courier New" w:hint="default"/>
      </w:rPr>
    </w:lvl>
    <w:lvl w:ilvl="2" w:tplc="A494315E" w:tentative="1">
      <w:start w:val="1"/>
      <w:numFmt w:val="bullet"/>
      <w:lvlText w:val=""/>
      <w:lvlJc w:val="left"/>
      <w:pPr>
        <w:ind w:left="2160" w:hanging="360"/>
      </w:pPr>
      <w:rPr>
        <w:rFonts w:ascii="Wingdings" w:hAnsi="Wingdings" w:hint="default"/>
      </w:rPr>
    </w:lvl>
    <w:lvl w:ilvl="3" w:tplc="47F4F09C" w:tentative="1">
      <w:start w:val="1"/>
      <w:numFmt w:val="bullet"/>
      <w:lvlText w:val=""/>
      <w:lvlJc w:val="left"/>
      <w:pPr>
        <w:ind w:left="2880" w:hanging="360"/>
      </w:pPr>
      <w:rPr>
        <w:rFonts w:ascii="Symbol" w:hAnsi="Symbol" w:hint="default"/>
      </w:rPr>
    </w:lvl>
    <w:lvl w:ilvl="4" w:tplc="1B724FFC" w:tentative="1">
      <w:start w:val="1"/>
      <w:numFmt w:val="bullet"/>
      <w:lvlText w:val="o"/>
      <w:lvlJc w:val="left"/>
      <w:pPr>
        <w:ind w:left="3600" w:hanging="360"/>
      </w:pPr>
      <w:rPr>
        <w:rFonts w:ascii="Courier New" w:hAnsi="Courier New" w:cs="Courier New" w:hint="default"/>
      </w:rPr>
    </w:lvl>
    <w:lvl w:ilvl="5" w:tplc="CEFE9948" w:tentative="1">
      <w:start w:val="1"/>
      <w:numFmt w:val="bullet"/>
      <w:lvlText w:val=""/>
      <w:lvlJc w:val="left"/>
      <w:pPr>
        <w:ind w:left="4320" w:hanging="360"/>
      </w:pPr>
      <w:rPr>
        <w:rFonts w:ascii="Wingdings" w:hAnsi="Wingdings" w:hint="default"/>
      </w:rPr>
    </w:lvl>
    <w:lvl w:ilvl="6" w:tplc="04B261BA" w:tentative="1">
      <w:start w:val="1"/>
      <w:numFmt w:val="bullet"/>
      <w:lvlText w:val=""/>
      <w:lvlJc w:val="left"/>
      <w:pPr>
        <w:ind w:left="5040" w:hanging="360"/>
      </w:pPr>
      <w:rPr>
        <w:rFonts w:ascii="Symbol" w:hAnsi="Symbol" w:hint="default"/>
      </w:rPr>
    </w:lvl>
    <w:lvl w:ilvl="7" w:tplc="841470B6" w:tentative="1">
      <w:start w:val="1"/>
      <w:numFmt w:val="bullet"/>
      <w:lvlText w:val="o"/>
      <w:lvlJc w:val="left"/>
      <w:pPr>
        <w:ind w:left="5760" w:hanging="360"/>
      </w:pPr>
      <w:rPr>
        <w:rFonts w:ascii="Courier New" w:hAnsi="Courier New" w:cs="Courier New" w:hint="default"/>
      </w:rPr>
    </w:lvl>
    <w:lvl w:ilvl="8" w:tplc="54C0E290"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3"/>
  </w:num>
  <w:num w:numId="4">
    <w:abstractNumId w:val="3"/>
  </w:num>
  <w:num w:numId="5">
    <w:abstractNumId w:val="9"/>
  </w:num>
  <w:num w:numId="6">
    <w:abstractNumId w:val="0"/>
  </w:num>
  <w:num w:numId="7">
    <w:abstractNumId w:val="10"/>
  </w:num>
  <w:num w:numId="8">
    <w:abstractNumId w:val="14"/>
  </w:num>
  <w:num w:numId="9">
    <w:abstractNumId w:val="8"/>
  </w:num>
  <w:num w:numId="10">
    <w:abstractNumId w:val="11"/>
  </w:num>
  <w:num w:numId="11">
    <w:abstractNumId w:val="4"/>
  </w:num>
  <w:num w:numId="12">
    <w:abstractNumId w:val="5"/>
  </w:num>
  <w:num w:numId="13">
    <w:abstractNumId w:val="7"/>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2MzGwMDE3sjQ2MjdX0lEKTi0uzszPAykwrQUAEUnhVSwAAAA="/>
  </w:docVars>
  <w:rsids>
    <w:rsidRoot w:val="009966C4"/>
    <w:rsid w:val="00004BAD"/>
    <w:rsid w:val="00011D2D"/>
    <w:rsid w:val="00012426"/>
    <w:rsid w:val="00013635"/>
    <w:rsid w:val="000136B7"/>
    <w:rsid w:val="0001586B"/>
    <w:rsid w:val="00025C16"/>
    <w:rsid w:val="000305B4"/>
    <w:rsid w:val="00030E3D"/>
    <w:rsid w:val="00032E3C"/>
    <w:rsid w:val="000342B0"/>
    <w:rsid w:val="00034583"/>
    <w:rsid w:val="00036AD3"/>
    <w:rsid w:val="00042199"/>
    <w:rsid w:val="000429E6"/>
    <w:rsid w:val="00044097"/>
    <w:rsid w:val="0004495D"/>
    <w:rsid w:val="00052A30"/>
    <w:rsid w:val="000538E3"/>
    <w:rsid w:val="00054EFF"/>
    <w:rsid w:val="00062B63"/>
    <w:rsid w:val="00066109"/>
    <w:rsid w:val="000667A1"/>
    <w:rsid w:val="00067C1A"/>
    <w:rsid w:val="000700C1"/>
    <w:rsid w:val="00070836"/>
    <w:rsid w:val="00071042"/>
    <w:rsid w:val="00071B71"/>
    <w:rsid w:val="00073694"/>
    <w:rsid w:val="000837EC"/>
    <w:rsid w:val="0009013C"/>
    <w:rsid w:val="0009114C"/>
    <w:rsid w:val="00094A7F"/>
    <w:rsid w:val="0009542D"/>
    <w:rsid w:val="000962F3"/>
    <w:rsid w:val="00097350"/>
    <w:rsid w:val="000A1E21"/>
    <w:rsid w:val="000A3835"/>
    <w:rsid w:val="000A60DB"/>
    <w:rsid w:val="000B1553"/>
    <w:rsid w:val="000B27BE"/>
    <w:rsid w:val="000C1F49"/>
    <w:rsid w:val="000C402F"/>
    <w:rsid w:val="000C6A38"/>
    <w:rsid w:val="000D2329"/>
    <w:rsid w:val="000D3302"/>
    <w:rsid w:val="000E56CC"/>
    <w:rsid w:val="000E6CA3"/>
    <w:rsid w:val="000E7F72"/>
    <w:rsid w:val="000F0569"/>
    <w:rsid w:val="000F2461"/>
    <w:rsid w:val="000F2CB7"/>
    <w:rsid w:val="000F2F56"/>
    <w:rsid w:val="000F3A8D"/>
    <w:rsid w:val="000F5900"/>
    <w:rsid w:val="000F5CA0"/>
    <w:rsid w:val="000F7D63"/>
    <w:rsid w:val="001008FE"/>
    <w:rsid w:val="00103C08"/>
    <w:rsid w:val="00104820"/>
    <w:rsid w:val="00104B0D"/>
    <w:rsid w:val="00106E1D"/>
    <w:rsid w:val="00112BA8"/>
    <w:rsid w:val="00124895"/>
    <w:rsid w:val="00124C35"/>
    <w:rsid w:val="001268F6"/>
    <w:rsid w:val="00126938"/>
    <w:rsid w:val="001273E5"/>
    <w:rsid w:val="0012785A"/>
    <w:rsid w:val="0013052B"/>
    <w:rsid w:val="001308D6"/>
    <w:rsid w:val="00130E34"/>
    <w:rsid w:val="00132188"/>
    <w:rsid w:val="001322BB"/>
    <w:rsid w:val="0013232C"/>
    <w:rsid w:val="001369D4"/>
    <w:rsid w:val="00136BDC"/>
    <w:rsid w:val="001407C6"/>
    <w:rsid w:val="00143990"/>
    <w:rsid w:val="00147829"/>
    <w:rsid w:val="00150968"/>
    <w:rsid w:val="001528E1"/>
    <w:rsid w:val="0015375B"/>
    <w:rsid w:val="00153B15"/>
    <w:rsid w:val="00153F20"/>
    <w:rsid w:val="00154319"/>
    <w:rsid w:val="00155D74"/>
    <w:rsid w:val="00156954"/>
    <w:rsid w:val="00157098"/>
    <w:rsid w:val="00157E4B"/>
    <w:rsid w:val="00161137"/>
    <w:rsid w:val="00161AF7"/>
    <w:rsid w:val="0016534A"/>
    <w:rsid w:val="00166274"/>
    <w:rsid w:val="00166714"/>
    <w:rsid w:val="00167AD3"/>
    <w:rsid w:val="00170E99"/>
    <w:rsid w:val="0017190A"/>
    <w:rsid w:val="001734CE"/>
    <w:rsid w:val="0017364E"/>
    <w:rsid w:val="00175CD4"/>
    <w:rsid w:val="001761C0"/>
    <w:rsid w:val="00176B03"/>
    <w:rsid w:val="001806C7"/>
    <w:rsid w:val="001831B7"/>
    <w:rsid w:val="00183DBE"/>
    <w:rsid w:val="001859C5"/>
    <w:rsid w:val="00186FE9"/>
    <w:rsid w:val="0019055D"/>
    <w:rsid w:val="0019116B"/>
    <w:rsid w:val="001951B6"/>
    <w:rsid w:val="0019610A"/>
    <w:rsid w:val="0019671D"/>
    <w:rsid w:val="0019710E"/>
    <w:rsid w:val="00197A66"/>
    <w:rsid w:val="001B0CF0"/>
    <w:rsid w:val="001B482E"/>
    <w:rsid w:val="001C33C2"/>
    <w:rsid w:val="001C3CFD"/>
    <w:rsid w:val="001C54C0"/>
    <w:rsid w:val="001C64C9"/>
    <w:rsid w:val="001C6AB8"/>
    <w:rsid w:val="001C771F"/>
    <w:rsid w:val="001D4C31"/>
    <w:rsid w:val="001D6757"/>
    <w:rsid w:val="001D7156"/>
    <w:rsid w:val="001E080C"/>
    <w:rsid w:val="001E33D9"/>
    <w:rsid w:val="001E3622"/>
    <w:rsid w:val="001E38E2"/>
    <w:rsid w:val="001E4A40"/>
    <w:rsid w:val="001E4ED1"/>
    <w:rsid w:val="001F1D37"/>
    <w:rsid w:val="001F6FA1"/>
    <w:rsid w:val="00203195"/>
    <w:rsid w:val="00204900"/>
    <w:rsid w:val="00204F17"/>
    <w:rsid w:val="00207692"/>
    <w:rsid w:val="002103D6"/>
    <w:rsid w:val="00210B80"/>
    <w:rsid w:val="00210CDD"/>
    <w:rsid w:val="00211D38"/>
    <w:rsid w:val="002126CF"/>
    <w:rsid w:val="002173EA"/>
    <w:rsid w:val="002219EB"/>
    <w:rsid w:val="002223D0"/>
    <w:rsid w:val="00224DC6"/>
    <w:rsid w:val="00227960"/>
    <w:rsid w:val="00231CB0"/>
    <w:rsid w:val="002350A7"/>
    <w:rsid w:val="00240ADB"/>
    <w:rsid w:val="00243B45"/>
    <w:rsid w:val="0024416C"/>
    <w:rsid w:val="00247F38"/>
    <w:rsid w:val="00250294"/>
    <w:rsid w:val="00253C11"/>
    <w:rsid w:val="00262D1D"/>
    <w:rsid w:val="002636D6"/>
    <w:rsid w:val="00263EFC"/>
    <w:rsid w:val="00266217"/>
    <w:rsid w:val="00273AB8"/>
    <w:rsid w:val="00276F7D"/>
    <w:rsid w:val="00277778"/>
    <w:rsid w:val="002806F6"/>
    <w:rsid w:val="00285ACF"/>
    <w:rsid w:val="00287D79"/>
    <w:rsid w:val="0029182C"/>
    <w:rsid w:val="00294DEA"/>
    <w:rsid w:val="002952CD"/>
    <w:rsid w:val="002964E6"/>
    <w:rsid w:val="0029702B"/>
    <w:rsid w:val="00297C12"/>
    <w:rsid w:val="00297E52"/>
    <w:rsid w:val="002A3594"/>
    <w:rsid w:val="002A375F"/>
    <w:rsid w:val="002A3DBC"/>
    <w:rsid w:val="002B113E"/>
    <w:rsid w:val="002B2687"/>
    <w:rsid w:val="002C0B5A"/>
    <w:rsid w:val="002C0E87"/>
    <w:rsid w:val="002C12C8"/>
    <w:rsid w:val="002C1B30"/>
    <w:rsid w:val="002C2A98"/>
    <w:rsid w:val="002D28C0"/>
    <w:rsid w:val="002D5A9D"/>
    <w:rsid w:val="002F5B20"/>
    <w:rsid w:val="002F5DF0"/>
    <w:rsid w:val="002F76EA"/>
    <w:rsid w:val="00303505"/>
    <w:rsid w:val="00304E65"/>
    <w:rsid w:val="003116C3"/>
    <w:rsid w:val="00313E43"/>
    <w:rsid w:val="00313EC6"/>
    <w:rsid w:val="00314AB9"/>
    <w:rsid w:val="0032219E"/>
    <w:rsid w:val="00324157"/>
    <w:rsid w:val="00324C64"/>
    <w:rsid w:val="003273A7"/>
    <w:rsid w:val="003304AA"/>
    <w:rsid w:val="00330A4E"/>
    <w:rsid w:val="00331D5B"/>
    <w:rsid w:val="00333289"/>
    <w:rsid w:val="003334C0"/>
    <w:rsid w:val="0033686F"/>
    <w:rsid w:val="00336C11"/>
    <w:rsid w:val="00341417"/>
    <w:rsid w:val="00341693"/>
    <w:rsid w:val="0034265F"/>
    <w:rsid w:val="00344403"/>
    <w:rsid w:val="0034740D"/>
    <w:rsid w:val="003475BB"/>
    <w:rsid w:val="00351FD0"/>
    <w:rsid w:val="003526B7"/>
    <w:rsid w:val="00353887"/>
    <w:rsid w:val="003540EC"/>
    <w:rsid w:val="00354735"/>
    <w:rsid w:val="00361440"/>
    <w:rsid w:val="00362A64"/>
    <w:rsid w:val="00364359"/>
    <w:rsid w:val="003663CA"/>
    <w:rsid w:val="00367C7A"/>
    <w:rsid w:val="00370102"/>
    <w:rsid w:val="0038098A"/>
    <w:rsid w:val="00381D58"/>
    <w:rsid w:val="003836BC"/>
    <w:rsid w:val="00383B0C"/>
    <w:rsid w:val="003917B3"/>
    <w:rsid w:val="003931A2"/>
    <w:rsid w:val="00394445"/>
    <w:rsid w:val="003A0060"/>
    <w:rsid w:val="003A117D"/>
    <w:rsid w:val="003A17C9"/>
    <w:rsid w:val="003A2AC5"/>
    <w:rsid w:val="003A5AF7"/>
    <w:rsid w:val="003B0981"/>
    <w:rsid w:val="003B0C58"/>
    <w:rsid w:val="003B247C"/>
    <w:rsid w:val="003B38F8"/>
    <w:rsid w:val="003B39F3"/>
    <w:rsid w:val="003B6666"/>
    <w:rsid w:val="003B70F9"/>
    <w:rsid w:val="003B7DAB"/>
    <w:rsid w:val="003C04CF"/>
    <w:rsid w:val="003C0C18"/>
    <w:rsid w:val="003C1C20"/>
    <w:rsid w:val="003C4DDA"/>
    <w:rsid w:val="003C5D18"/>
    <w:rsid w:val="003C7E31"/>
    <w:rsid w:val="003D26E5"/>
    <w:rsid w:val="003D447D"/>
    <w:rsid w:val="003D533B"/>
    <w:rsid w:val="003D5799"/>
    <w:rsid w:val="003D5F29"/>
    <w:rsid w:val="003D6B34"/>
    <w:rsid w:val="003D6DD0"/>
    <w:rsid w:val="003E2CF6"/>
    <w:rsid w:val="003E39A0"/>
    <w:rsid w:val="003F2DD8"/>
    <w:rsid w:val="003F3C3D"/>
    <w:rsid w:val="003F46DB"/>
    <w:rsid w:val="00402095"/>
    <w:rsid w:val="004022C1"/>
    <w:rsid w:val="00404B7B"/>
    <w:rsid w:val="00405D41"/>
    <w:rsid w:val="00412B8D"/>
    <w:rsid w:val="00413096"/>
    <w:rsid w:val="00415356"/>
    <w:rsid w:val="00415F1C"/>
    <w:rsid w:val="00416400"/>
    <w:rsid w:val="0041666A"/>
    <w:rsid w:val="00420F53"/>
    <w:rsid w:val="00422B80"/>
    <w:rsid w:val="00425CFD"/>
    <w:rsid w:val="004266DF"/>
    <w:rsid w:val="004268DF"/>
    <w:rsid w:val="004269F4"/>
    <w:rsid w:val="00432AE2"/>
    <w:rsid w:val="004346EF"/>
    <w:rsid w:val="0043512D"/>
    <w:rsid w:val="004364D1"/>
    <w:rsid w:val="00437647"/>
    <w:rsid w:val="0044022B"/>
    <w:rsid w:val="00445972"/>
    <w:rsid w:val="00446793"/>
    <w:rsid w:val="004467B7"/>
    <w:rsid w:val="00446DDD"/>
    <w:rsid w:val="00447863"/>
    <w:rsid w:val="0045166A"/>
    <w:rsid w:val="00452FE9"/>
    <w:rsid w:val="00454238"/>
    <w:rsid w:val="004566C9"/>
    <w:rsid w:val="00457B61"/>
    <w:rsid w:val="00460169"/>
    <w:rsid w:val="00460B46"/>
    <w:rsid w:val="00461F94"/>
    <w:rsid w:val="004626D7"/>
    <w:rsid w:val="00462B19"/>
    <w:rsid w:val="00463A0A"/>
    <w:rsid w:val="004744DB"/>
    <w:rsid w:val="00474AC9"/>
    <w:rsid w:val="004752B4"/>
    <w:rsid w:val="00476F42"/>
    <w:rsid w:val="00484FB5"/>
    <w:rsid w:val="00486DC4"/>
    <w:rsid w:val="004873CA"/>
    <w:rsid w:val="00490708"/>
    <w:rsid w:val="004933DB"/>
    <w:rsid w:val="00495882"/>
    <w:rsid w:val="004A0D77"/>
    <w:rsid w:val="004A13B0"/>
    <w:rsid w:val="004A52C2"/>
    <w:rsid w:val="004B126D"/>
    <w:rsid w:val="004B30E0"/>
    <w:rsid w:val="004B3D52"/>
    <w:rsid w:val="004C0056"/>
    <w:rsid w:val="004C169C"/>
    <w:rsid w:val="004C1835"/>
    <w:rsid w:val="004C352A"/>
    <w:rsid w:val="004C497E"/>
    <w:rsid w:val="004C6D90"/>
    <w:rsid w:val="004D07FB"/>
    <w:rsid w:val="004D0D2E"/>
    <w:rsid w:val="004D2ACF"/>
    <w:rsid w:val="004D2C25"/>
    <w:rsid w:val="004D2F38"/>
    <w:rsid w:val="004D3A48"/>
    <w:rsid w:val="004D5252"/>
    <w:rsid w:val="004D74C4"/>
    <w:rsid w:val="004E1E03"/>
    <w:rsid w:val="004E3D66"/>
    <w:rsid w:val="004E4A07"/>
    <w:rsid w:val="004E7054"/>
    <w:rsid w:val="004F09DD"/>
    <w:rsid w:val="004F2CF0"/>
    <w:rsid w:val="004F4244"/>
    <w:rsid w:val="004F768C"/>
    <w:rsid w:val="0050058A"/>
    <w:rsid w:val="00500F73"/>
    <w:rsid w:val="00500FB0"/>
    <w:rsid w:val="00505665"/>
    <w:rsid w:val="00511188"/>
    <w:rsid w:val="00513369"/>
    <w:rsid w:val="00513E60"/>
    <w:rsid w:val="005151BC"/>
    <w:rsid w:val="0052009D"/>
    <w:rsid w:val="005220E6"/>
    <w:rsid w:val="00531B52"/>
    <w:rsid w:val="0053378A"/>
    <w:rsid w:val="005365FE"/>
    <w:rsid w:val="00536A06"/>
    <w:rsid w:val="00536C88"/>
    <w:rsid w:val="00536CD7"/>
    <w:rsid w:val="00550D86"/>
    <w:rsid w:val="00551D0D"/>
    <w:rsid w:val="00552847"/>
    <w:rsid w:val="00553AA3"/>
    <w:rsid w:val="00553F69"/>
    <w:rsid w:val="00554E34"/>
    <w:rsid w:val="005555F5"/>
    <w:rsid w:val="00561DA0"/>
    <w:rsid w:val="00574AB5"/>
    <w:rsid w:val="005812B8"/>
    <w:rsid w:val="00583410"/>
    <w:rsid w:val="00584AEB"/>
    <w:rsid w:val="005876F1"/>
    <w:rsid w:val="005877C7"/>
    <w:rsid w:val="0059129E"/>
    <w:rsid w:val="005939E9"/>
    <w:rsid w:val="00593EAA"/>
    <w:rsid w:val="0059625A"/>
    <w:rsid w:val="005A2914"/>
    <w:rsid w:val="005A2BF3"/>
    <w:rsid w:val="005A462D"/>
    <w:rsid w:val="005B02FC"/>
    <w:rsid w:val="005B11D7"/>
    <w:rsid w:val="005B4FF0"/>
    <w:rsid w:val="005B5256"/>
    <w:rsid w:val="005B7626"/>
    <w:rsid w:val="005B7ADA"/>
    <w:rsid w:val="005C162C"/>
    <w:rsid w:val="005C18BB"/>
    <w:rsid w:val="005C3720"/>
    <w:rsid w:val="005C3A53"/>
    <w:rsid w:val="005C3F52"/>
    <w:rsid w:val="005D18AD"/>
    <w:rsid w:val="005D213F"/>
    <w:rsid w:val="005D3E06"/>
    <w:rsid w:val="005D45CA"/>
    <w:rsid w:val="005D7210"/>
    <w:rsid w:val="005D77D0"/>
    <w:rsid w:val="005E0466"/>
    <w:rsid w:val="005E04DD"/>
    <w:rsid w:val="005E621F"/>
    <w:rsid w:val="005E6284"/>
    <w:rsid w:val="005E7024"/>
    <w:rsid w:val="005F1E31"/>
    <w:rsid w:val="005F3100"/>
    <w:rsid w:val="005F3435"/>
    <w:rsid w:val="005F359F"/>
    <w:rsid w:val="005F70C2"/>
    <w:rsid w:val="00602A6F"/>
    <w:rsid w:val="00603AF6"/>
    <w:rsid w:val="00604814"/>
    <w:rsid w:val="0060555F"/>
    <w:rsid w:val="00610FCF"/>
    <w:rsid w:val="00611760"/>
    <w:rsid w:val="006121F6"/>
    <w:rsid w:val="006137AB"/>
    <w:rsid w:val="00622789"/>
    <w:rsid w:val="00623B3C"/>
    <w:rsid w:val="00623CB9"/>
    <w:rsid w:val="00626D11"/>
    <w:rsid w:val="00630B2B"/>
    <w:rsid w:val="006311AB"/>
    <w:rsid w:val="00631873"/>
    <w:rsid w:val="00632F71"/>
    <w:rsid w:val="00635E5D"/>
    <w:rsid w:val="00636F24"/>
    <w:rsid w:val="00640129"/>
    <w:rsid w:val="00642FD1"/>
    <w:rsid w:val="0064391B"/>
    <w:rsid w:val="0064417F"/>
    <w:rsid w:val="00644DA7"/>
    <w:rsid w:val="00645792"/>
    <w:rsid w:val="00647E4E"/>
    <w:rsid w:val="00650CC6"/>
    <w:rsid w:val="00657A30"/>
    <w:rsid w:val="006623D3"/>
    <w:rsid w:val="0066260B"/>
    <w:rsid w:val="00663066"/>
    <w:rsid w:val="0066486E"/>
    <w:rsid w:val="00665A8D"/>
    <w:rsid w:val="00666801"/>
    <w:rsid w:val="0067327A"/>
    <w:rsid w:val="00674051"/>
    <w:rsid w:val="006747D8"/>
    <w:rsid w:val="006758E3"/>
    <w:rsid w:val="006765AF"/>
    <w:rsid w:val="00680102"/>
    <w:rsid w:val="006806D7"/>
    <w:rsid w:val="0068340C"/>
    <w:rsid w:val="0068404A"/>
    <w:rsid w:val="00684672"/>
    <w:rsid w:val="006848EA"/>
    <w:rsid w:val="00686A7D"/>
    <w:rsid w:val="0069124C"/>
    <w:rsid w:val="006917B4"/>
    <w:rsid w:val="0069334B"/>
    <w:rsid w:val="00693F0C"/>
    <w:rsid w:val="00694B2E"/>
    <w:rsid w:val="00697C99"/>
    <w:rsid w:val="006A0169"/>
    <w:rsid w:val="006A0858"/>
    <w:rsid w:val="006A1AFD"/>
    <w:rsid w:val="006A423B"/>
    <w:rsid w:val="006A4E4B"/>
    <w:rsid w:val="006A580F"/>
    <w:rsid w:val="006A60E7"/>
    <w:rsid w:val="006B0F78"/>
    <w:rsid w:val="006B1F5F"/>
    <w:rsid w:val="006B302A"/>
    <w:rsid w:val="006B3CC6"/>
    <w:rsid w:val="006B4AF2"/>
    <w:rsid w:val="006B630C"/>
    <w:rsid w:val="006C1FE3"/>
    <w:rsid w:val="006C312F"/>
    <w:rsid w:val="006C673B"/>
    <w:rsid w:val="006E0D9D"/>
    <w:rsid w:val="006E0EB6"/>
    <w:rsid w:val="006E6F65"/>
    <w:rsid w:val="006E6F76"/>
    <w:rsid w:val="006E760B"/>
    <w:rsid w:val="006F2EBB"/>
    <w:rsid w:val="006F4136"/>
    <w:rsid w:val="006F6D0A"/>
    <w:rsid w:val="007013F4"/>
    <w:rsid w:val="00701573"/>
    <w:rsid w:val="007079AA"/>
    <w:rsid w:val="0071417D"/>
    <w:rsid w:val="00715962"/>
    <w:rsid w:val="00717014"/>
    <w:rsid w:val="00721FF0"/>
    <w:rsid w:val="00722FAF"/>
    <w:rsid w:val="00723DB6"/>
    <w:rsid w:val="007245BF"/>
    <w:rsid w:val="00727723"/>
    <w:rsid w:val="00727D7E"/>
    <w:rsid w:val="00731F35"/>
    <w:rsid w:val="007320F5"/>
    <w:rsid w:val="007324E7"/>
    <w:rsid w:val="0073268E"/>
    <w:rsid w:val="00736F2D"/>
    <w:rsid w:val="007378C7"/>
    <w:rsid w:val="00741C36"/>
    <w:rsid w:val="007429DF"/>
    <w:rsid w:val="00743DC9"/>
    <w:rsid w:val="007504E8"/>
    <w:rsid w:val="00752492"/>
    <w:rsid w:val="00752C1B"/>
    <w:rsid w:val="0076032C"/>
    <w:rsid w:val="00760977"/>
    <w:rsid w:val="00760E29"/>
    <w:rsid w:val="00763F91"/>
    <w:rsid w:val="00770501"/>
    <w:rsid w:val="007706D9"/>
    <w:rsid w:val="00771BF3"/>
    <w:rsid w:val="007753AD"/>
    <w:rsid w:val="007755BD"/>
    <w:rsid w:val="00785078"/>
    <w:rsid w:val="007864A1"/>
    <w:rsid w:val="00786A7A"/>
    <w:rsid w:val="007874D0"/>
    <w:rsid w:val="007928D7"/>
    <w:rsid w:val="00792E03"/>
    <w:rsid w:val="00793F9A"/>
    <w:rsid w:val="00796254"/>
    <w:rsid w:val="007A05CC"/>
    <w:rsid w:val="007A27A7"/>
    <w:rsid w:val="007A33B5"/>
    <w:rsid w:val="007A622D"/>
    <w:rsid w:val="007A7B55"/>
    <w:rsid w:val="007B1CE3"/>
    <w:rsid w:val="007B26AE"/>
    <w:rsid w:val="007B51CE"/>
    <w:rsid w:val="007B6214"/>
    <w:rsid w:val="007C461E"/>
    <w:rsid w:val="007D47A7"/>
    <w:rsid w:val="007D591A"/>
    <w:rsid w:val="007D7A50"/>
    <w:rsid w:val="007D7E88"/>
    <w:rsid w:val="007E209A"/>
    <w:rsid w:val="007E44A1"/>
    <w:rsid w:val="007E62D6"/>
    <w:rsid w:val="007E67C1"/>
    <w:rsid w:val="00800B7F"/>
    <w:rsid w:val="0080190E"/>
    <w:rsid w:val="0080206A"/>
    <w:rsid w:val="008026AC"/>
    <w:rsid w:val="00802C70"/>
    <w:rsid w:val="00807C18"/>
    <w:rsid w:val="0081613B"/>
    <w:rsid w:val="0082015C"/>
    <w:rsid w:val="00822DF5"/>
    <w:rsid w:val="00823ADB"/>
    <w:rsid w:val="00830AC6"/>
    <w:rsid w:val="00830E94"/>
    <w:rsid w:val="00832EFB"/>
    <w:rsid w:val="00834262"/>
    <w:rsid w:val="00834E73"/>
    <w:rsid w:val="0083613E"/>
    <w:rsid w:val="00836A13"/>
    <w:rsid w:val="0083746E"/>
    <w:rsid w:val="0084073F"/>
    <w:rsid w:val="0084222D"/>
    <w:rsid w:val="00844E6C"/>
    <w:rsid w:val="00846493"/>
    <w:rsid w:val="008531E9"/>
    <w:rsid w:val="00854FE4"/>
    <w:rsid w:val="00855931"/>
    <w:rsid w:val="00861DF2"/>
    <w:rsid w:val="0086492E"/>
    <w:rsid w:val="00866E6B"/>
    <w:rsid w:val="00872561"/>
    <w:rsid w:val="0087416D"/>
    <w:rsid w:val="00875073"/>
    <w:rsid w:val="00876C69"/>
    <w:rsid w:val="00876F5B"/>
    <w:rsid w:val="0087731C"/>
    <w:rsid w:val="0088063F"/>
    <w:rsid w:val="008807CD"/>
    <w:rsid w:val="008822AB"/>
    <w:rsid w:val="008874D7"/>
    <w:rsid w:val="00890AFF"/>
    <w:rsid w:val="00893573"/>
    <w:rsid w:val="00896179"/>
    <w:rsid w:val="00896A74"/>
    <w:rsid w:val="008A31CC"/>
    <w:rsid w:val="008A3D40"/>
    <w:rsid w:val="008A7AE0"/>
    <w:rsid w:val="008B06B9"/>
    <w:rsid w:val="008B278B"/>
    <w:rsid w:val="008B2C29"/>
    <w:rsid w:val="008B44FF"/>
    <w:rsid w:val="008B64A3"/>
    <w:rsid w:val="008C0BE9"/>
    <w:rsid w:val="008C163B"/>
    <w:rsid w:val="008C4096"/>
    <w:rsid w:val="008D070B"/>
    <w:rsid w:val="008D2FE4"/>
    <w:rsid w:val="008D35E6"/>
    <w:rsid w:val="008D37F6"/>
    <w:rsid w:val="008E00A3"/>
    <w:rsid w:val="008E17CA"/>
    <w:rsid w:val="008E5346"/>
    <w:rsid w:val="008E7DBD"/>
    <w:rsid w:val="008F1A70"/>
    <w:rsid w:val="008F493C"/>
    <w:rsid w:val="008F4A51"/>
    <w:rsid w:val="008F4D64"/>
    <w:rsid w:val="008F57F2"/>
    <w:rsid w:val="0090359D"/>
    <w:rsid w:val="009108B7"/>
    <w:rsid w:val="00911516"/>
    <w:rsid w:val="00911FAB"/>
    <w:rsid w:val="00916BC0"/>
    <w:rsid w:val="00922BF6"/>
    <w:rsid w:val="009235EF"/>
    <w:rsid w:val="00925225"/>
    <w:rsid w:val="00927911"/>
    <w:rsid w:val="0093073E"/>
    <w:rsid w:val="0094429D"/>
    <w:rsid w:val="009462E8"/>
    <w:rsid w:val="0094744E"/>
    <w:rsid w:val="00947DBE"/>
    <w:rsid w:val="009508D7"/>
    <w:rsid w:val="00950E34"/>
    <w:rsid w:val="00951A8B"/>
    <w:rsid w:val="00956D86"/>
    <w:rsid w:val="009619B3"/>
    <w:rsid w:val="00966119"/>
    <w:rsid w:val="009675C0"/>
    <w:rsid w:val="00972979"/>
    <w:rsid w:val="00974733"/>
    <w:rsid w:val="00974B3A"/>
    <w:rsid w:val="009756E7"/>
    <w:rsid w:val="0097586A"/>
    <w:rsid w:val="009779FD"/>
    <w:rsid w:val="0098041E"/>
    <w:rsid w:val="00981FE0"/>
    <w:rsid w:val="00985144"/>
    <w:rsid w:val="00985EB2"/>
    <w:rsid w:val="00986469"/>
    <w:rsid w:val="0098704F"/>
    <w:rsid w:val="0098739A"/>
    <w:rsid w:val="00990858"/>
    <w:rsid w:val="00991FEA"/>
    <w:rsid w:val="00994E3B"/>
    <w:rsid w:val="009964DE"/>
    <w:rsid w:val="009966C4"/>
    <w:rsid w:val="009968E5"/>
    <w:rsid w:val="00996D5E"/>
    <w:rsid w:val="009972E2"/>
    <w:rsid w:val="00997EC4"/>
    <w:rsid w:val="009A034F"/>
    <w:rsid w:val="009A20F0"/>
    <w:rsid w:val="009A2927"/>
    <w:rsid w:val="009A6A49"/>
    <w:rsid w:val="009B06DE"/>
    <w:rsid w:val="009B10D9"/>
    <w:rsid w:val="009B16E4"/>
    <w:rsid w:val="009B2074"/>
    <w:rsid w:val="009B3DDF"/>
    <w:rsid w:val="009C0BE5"/>
    <w:rsid w:val="009C1F8D"/>
    <w:rsid w:val="009D3861"/>
    <w:rsid w:val="009D67C8"/>
    <w:rsid w:val="009E0E9B"/>
    <w:rsid w:val="009E2291"/>
    <w:rsid w:val="009E3555"/>
    <w:rsid w:val="009E3B23"/>
    <w:rsid w:val="009E4EB3"/>
    <w:rsid w:val="009F24A0"/>
    <w:rsid w:val="009F474C"/>
    <w:rsid w:val="009F506A"/>
    <w:rsid w:val="009F711C"/>
    <w:rsid w:val="009F7264"/>
    <w:rsid w:val="00A00FEF"/>
    <w:rsid w:val="00A0199E"/>
    <w:rsid w:val="00A03B2D"/>
    <w:rsid w:val="00A106A9"/>
    <w:rsid w:val="00A12E4A"/>
    <w:rsid w:val="00A14197"/>
    <w:rsid w:val="00A1551A"/>
    <w:rsid w:val="00A208C1"/>
    <w:rsid w:val="00A24469"/>
    <w:rsid w:val="00A316B7"/>
    <w:rsid w:val="00A4257A"/>
    <w:rsid w:val="00A459E2"/>
    <w:rsid w:val="00A46EDD"/>
    <w:rsid w:val="00A47E0C"/>
    <w:rsid w:val="00A53D72"/>
    <w:rsid w:val="00A56158"/>
    <w:rsid w:val="00A67D3D"/>
    <w:rsid w:val="00A7168C"/>
    <w:rsid w:val="00A7232E"/>
    <w:rsid w:val="00A8406E"/>
    <w:rsid w:val="00A87AD4"/>
    <w:rsid w:val="00A91EEA"/>
    <w:rsid w:val="00A93298"/>
    <w:rsid w:val="00A93B5A"/>
    <w:rsid w:val="00A94720"/>
    <w:rsid w:val="00A95A4B"/>
    <w:rsid w:val="00A96352"/>
    <w:rsid w:val="00AA685C"/>
    <w:rsid w:val="00AA7208"/>
    <w:rsid w:val="00AA7F1A"/>
    <w:rsid w:val="00AB0BCC"/>
    <w:rsid w:val="00AB18AE"/>
    <w:rsid w:val="00AB4E27"/>
    <w:rsid w:val="00AB5C2C"/>
    <w:rsid w:val="00AC31E2"/>
    <w:rsid w:val="00AC666B"/>
    <w:rsid w:val="00AC7A61"/>
    <w:rsid w:val="00AD323D"/>
    <w:rsid w:val="00AD4D53"/>
    <w:rsid w:val="00AD51DD"/>
    <w:rsid w:val="00AD7D0B"/>
    <w:rsid w:val="00AE04B7"/>
    <w:rsid w:val="00AE06C7"/>
    <w:rsid w:val="00AE10C6"/>
    <w:rsid w:val="00AE21FB"/>
    <w:rsid w:val="00AE31B9"/>
    <w:rsid w:val="00AE5E31"/>
    <w:rsid w:val="00AE6366"/>
    <w:rsid w:val="00AE7235"/>
    <w:rsid w:val="00AF0215"/>
    <w:rsid w:val="00AF0BDB"/>
    <w:rsid w:val="00AF0FC6"/>
    <w:rsid w:val="00AF50DA"/>
    <w:rsid w:val="00AF5AA1"/>
    <w:rsid w:val="00AF6644"/>
    <w:rsid w:val="00B00D3C"/>
    <w:rsid w:val="00B02613"/>
    <w:rsid w:val="00B04667"/>
    <w:rsid w:val="00B1084A"/>
    <w:rsid w:val="00B121E4"/>
    <w:rsid w:val="00B138F6"/>
    <w:rsid w:val="00B13B4B"/>
    <w:rsid w:val="00B17380"/>
    <w:rsid w:val="00B20336"/>
    <w:rsid w:val="00B22686"/>
    <w:rsid w:val="00B25BE9"/>
    <w:rsid w:val="00B3190D"/>
    <w:rsid w:val="00B33A82"/>
    <w:rsid w:val="00B37B51"/>
    <w:rsid w:val="00B40214"/>
    <w:rsid w:val="00B463FB"/>
    <w:rsid w:val="00B46C69"/>
    <w:rsid w:val="00B52460"/>
    <w:rsid w:val="00B535F1"/>
    <w:rsid w:val="00B54510"/>
    <w:rsid w:val="00B54DF9"/>
    <w:rsid w:val="00B572C4"/>
    <w:rsid w:val="00B615CB"/>
    <w:rsid w:val="00B61A01"/>
    <w:rsid w:val="00B628D9"/>
    <w:rsid w:val="00B62FC4"/>
    <w:rsid w:val="00B63FD3"/>
    <w:rsid w:val="00B65C7A"/>
    <w:rsid w:val="00B66322"/>
    <w:rsid w:val="00B67F2D"/>
    <w:rsid w:val="00B73468"/>
    <w:rsid w:val="00B747D8"/>
    <w:rsid w:val="00B76EBE"/>
    <w:rsid w:val="00B770A2"/>
    <w:rsid w:val="00B80127"/>
    <w:rsid w:val="00B8108E"/>
    <w:rsid w:val="00B8128D"/>
    <w:rsid w:val="00B832AB"/>
    <w:rsid w:val="00B84B5E"/>
    <w:rsid w:val="00B8514C"/>
    <w:rsid w:val="00B86D42"/>
    <w:rsid w:val="00B86E63"/>
    <w:rsid w:val="00B87218"/>
    <w:rsid w:val="00B93FF0"/>
    <w:rsid w:val="00B94F08"/>
    <w:rsid w:val="00B97BF7"/>
    <w:rsid w:val="00BA2F6D"/>
    <w:rsid w:val="00BA4092"/>
    <w:rsid w:val="00BA4972"/>
    <w:rsid w:val="00BA61DC"/>
    <w:rsid w:val="00BB6821"/>
    <w:rsid w:val="00BC3935"/>
    <w:rsid w:val="00BC42C0"/>
    <w:rsid w:val="00BC6169"/>
    <w:rsid w:val="00BC6C5E"/>
    <w:rsid w:val="00BC71BA"/>
    <w:rsid w:val="00BC7FD0"/>
    <w:rsid w:val="00BD066C"/>
    <w:rsid w:val="00BD289C"/>
    <w:rsid w:val="00BD67F4"/>
    <w:rsid w:val="00BE3E4F"/>
    <w:rsid w:val="00BE54F0"/>
    <w:rsid w:val="00BE68F8"/>
    <w:rsid w:val="00BF20F4"/>
    <w:rsid w:val="00BF4BE4"/>
    <w:rsid w:val="00BF660A"/>
    <w:rsid w:val="00BF74FB"/>
    <w:rsid w:val="00BF781E"/>
    <w:rsid w:val="00C0315B"/>
    <w:rsid w:val="00C0565A"/>
    <w:rsid w:val="00C071A0"/>
    <w:rsid w:val="00C07A28"/>
    <w:rsid w:val="00C12660"/>
    <w:rsid w:val="00C1515B"/>
    <w:rsid w:val="00C16377"/>
    <w:rsid w:val="00C1639C"/>
    <w:rsid w:val="00C21641"/>
    <w:rsid w:val="00C23FD7"/>
    <w:rsid w:val="00C27102"/>
    <w:rsid w:val="00C30C55"/>
    <w:rsid w:val="00C32554"/>
    <w:rsid w:val="00C334D0"/>
    <w:rsid w:val="00C33A28"/>
    <w:rsid w:val="00C36D49"/>
    <w:rsid w:val="00C37AD3"/>
    <w:rsid w:val="00C409B4"/>
    <w:rsid w:val="00C45241"/>
    <w:rsid w:val="00C4596A"/>
    <w:rsid w:val="00C476F1"/>
    <w:rsid w:val="00C538AD"/>
    <w:rsid w:val="00C557E0"/>
    <w:rsid w:val="00C55C68"/>
    <w:rsid w:val="00C56899"/>
    <w:rsid w:val="00C574DB"/>
    <w:rsid w:val="00C635BD"/>
    <w:rsid w:val="00C647CF"/>
    <w:rsid w:val="00C73742"/>
    <w:rsid w:val="00C74E5F"/>
    <w:rsid w:val="00C7774F"/>
    <w:rsid w:val="00C77CF8"/>
    <w:rsid w:val="00C77F2E"/>
    <w:rsid w:val="00C84CA7"/>
    <w:rsid w:val="00C87381"/>
    <w:rsid w:val="00C906AB"/>
    <w:rsid w:val="00C93569"/>
    <w:rsid w:val="00C95B82"/>
    <w:rsid w:val="00C961A8"/>
    <w:rsid w:val="00C97DB4"/>
    <w:rsid w:val="00CA0048"/>
    <w:rsid w:val="00CA59D7"/>
    <w:rsid w:val="00CA5B8A"/>
    <w:rsid w:val="00CB0F35"/>
    <w:rsid w:val="00CB28B8"/>
    <w:rsid w:val="00CB7698"/>
    <w:rsid w:val="00CC08E4"/>
    <w:rsid w:val="00CC36E7"/>
    <w:rsid w:val="00CC4B1C"/>
    <w:rsid w:val="00CC5773"/>
    <w:rsid w:val="00CC6655"/>
    <w:rsid w:val="00CD2FA6"/>
    <w:rsid w:val="00CD6FDA"/>
    <w:rsid w:val="00CE04FC"/>
    <w:rsid w:val="00CE1542"/>
    <w:rsid w:val="00CF0BD7"/>
    <w:rsid w:val="00CF1CB9"/>
    <w:rsid w:val="00CF4380"/>
    <w:rsid w:val="00CF55F2"/>
    <w:rsid w:val="00CF5E1E"/>
    <w:rsid w:val="00D057FA"/>
    <w:rsid w:val="00D06F68"/>
    <w:rsid w:val="00D07151"/>
    <w:rsid w:val="00D0728B"/>
    <w:rsid w:val="00D07518"/>
    <w:rsid w:val="00D07A35"/>
    <w:rsid w:val="00D115A1"/>
    <w:rsid w:val="00D14860"/>
    <w:rsid w:val="00D14DC7"/>
    <w:rsid w:val="00D171A5"/>
    <w:rsid w:val="00D17AAC"/>
    <w:rsid w:val="00D24110"/>
    <w:rsid w:val="00D24923"/>
    <w:rsid w:val="00D24D50"/>
    <w:rsid w:val="00D26B8D"/>
    <w:rsid w:val="00D27BB9"/>
    <w:rsid w:val="00D3170B"/>
    <w:rsid w:val="00D36D8C"/>
    <w:rsid w:val="00D3744E"/>
    <w:rsid w:val="00D40183"/>
    <w:rsid w:val="00D43B7C"/>
    <w:rsid w:val="00D43F6C"/>
    <w:rsid w:val="00D44D82"/>
    <w:rsid w:val="00D465FD"/>
    <w:rsid w:val="00D467CE"/>
    <w:rsid w:val="00D51CF5"/>
    <w:rsid w:val="00D536F3"/>
    <w:rsid w:val="00D55C58"/>
    <w:rsid w:val="00D57F0D"/>
    <w:rsid w:val="00D636F7"/>
    <w:rsid w:val="00D666F4"/>
    <w:rsid w:val="00D669A0"/>
    <w:rsid w:val="00D71A16"/>
    <w:rsid w:val="00D723A1"/>
    <w:rsid w:val="00D73008"/>
    <w:rsid w:val="00D77B5C"/>
    <w:rsid w:val="00D809EC"/>
    <w:rsid w:val="00D817C1"/>
    <w:rsid w:val="00D82993"/>
    <w:rsid w:val="00D86C33"/>
    <w:rsid w:val="00D9519C"/>
    <w:rsid w:val="00DA0E42"/>
    <w:rsid w:val="00DA14DD"/>
    <w:rsid w:val="00DA4E73"/>
    <w:rsid w:val="00DB0BB2"/>
    <w:rsid w:val="00DB15FD"/>
    <w:rsid w:val="00DB4153"/>
    <w:rsid w:val="00DC1440"/>
    <w:rsid w:val="00DC2212"/>
    <w:rsid w:val="00DD21B6"/>
    <w:rsid w:val="00DD35C7"/>
    <w:rsid w:val="00DD56C5"/>
    <w:rsid w:val="00DD7E93"/>
    <w:rsid w:val="00DD7F34"/>
    <w:rsid w:val="00DE1890"/>
    <w:rsid w:val="00DE1F1C"/>
    <w:rsid w:val="00DE35F6"/>
    <w:rsid w:val="00DE580A"/>
    <w:rsid w:val="00DE6C87"/>
    <w:rsid w:val="00DF1E50"/>
    <w:rsid w:val="00DF4556"/>
    <w:rsid w:val="00DF79CE"/>
    <w:rsid w:val="00E01392"/>
    <w:rsid w:val="00E019E9"/>
    <w:rsid w:val="00E02B52"/>
    <w:rsid w:val="00E067F1"/>
    <w:rsid w:val="00E142A9"/>
    <w:rsid w:val="00E15570"/>
    <w:rsid w:val="00E17514"/>
    <w:rsid w:val="00E1794A"/>
    <w:rsid w:val="00E21673"/>
    <w:rsid w:val="00E23018"/>
    <w:rsid w:val="00E23692"/>
    <w:rsid w:val="00E321AC"/>
    <w:rsid w:val="00E328C3"/>
    <w:rsid w:val="00E33C8A"/>
    <w:rsid w:val="00E407B1"/>
    <w:rsid w:val="00E46B60"/>
    <w:rsid w:val="00E47057"/>
    <w:rsid w:val="00E47E44"/>
    <w:rsid w:val="00E50106"/>
    <w:rsid w:val="00E529E8"/>
    <w:rsid w:val="00E5512E"/>
    <w:rsid w:val="00E60565"/>
    <w:rsid w:val="00E61C32"/>
    <w:rsid w:val="00E63642"/>
    <w:rsid w:val="00E64E1E"/>
    <w:rsid w:val="00E66B21"/>
    <w:rsid w:val="00E746F0"/>
    <w:rsid w:val="00E87A9F"/>
    <w:rsid w:val="00E90E37"/>
    <w:rsid w:val="00E9506B"/>
    <w:rsid w:val="00EA18AA"/>
    <w:rsid w:val="00EA672F"/>
    <w:rsid w:val="00EB1259"/>
    <w:rsid w:val="00EB1E7C"/>
    <w:rsid w:val="00EC4960"/>
    <w:rsid w:val="00EC4F19"/>
    <w:rsid w:val="00EC6EA7"/>
    <w:rsid w:val="00ED659C"/>
    <w:rsid w:val="00ED6734"/>
    <w:rsid w:val="00EE010D"/>
    <w:rsid w:val="00EE0BD7"/>
    <w:rsid w:val="00EE59BB"/>
    <w:rsid w:val="00EE674C"/>
    <w:rsid w:val="00EF3933"/>
    <w:rsid w:val="00EF4827"/>
    <w:rsid w:val="00EF62A7"/>
    <w:rsid w:val="00EF7FC8"/>
    <w:rsid w:val="00F0054E"/>
    <w:rsid w:val="00F00B45"/>
    <w:rsid w:val="00F00B84"/>
    <w:rsid w:val="00F0113F"/>
    <w:rsid w:val="00F0384A"/>
    <w:rsid w:val="00F04927"/>
    <w:rsid w:val="00F06919"/>
    <w:rsid w:val="00F155E0"/>
    <w:rsid w:val="00F15E9B"/>
    <w:rsid w:val="00F162BB"/>
    <w:rsid w:val="00F17573"/>
    <w:rsid w:val="00F23C3C"/>
    <w:rsid w:val="00F24B88"/>
    <w:rsid w:val="00F24C71"/>
    <w:rsid w:val="00F2599B"/>
    <w:rsid w:val="00F25DC6"/>
    <w:rsid w:val="00F26390"/>
    <w:rsid w:val="00F367E8"/>
    <w:rsid w:val="00F41503"/>
    <w:rsid w:val="00F441EE"/>
    <w:rsid w:val="00F45CBA"/>
    <w:rsid w:val="00F4632E"/>
    <w:rsid w:val="00F46B5D"/>
    <w:rsid w:val="00F46FBD"/>
    <w:rsid w:val="00F504D1"/>
    <w:rsid w:val="00F50525"/>
    <w:rsid w:val="00F5137D"/>
    <w:rsid w:val="00F520A5"/>
    <w:rsid w:val="00F52EC7"/>
    <w:rsid w:val="00F5458A"/>
    <w:rsid w:val="00F55EF9"/>
    <w:rsid w:val="00F56EF3"/>
    <w:rsid w:val="00F60E0B"/>
    <w:rsid w:val="00F632FB"/>
    <w:rsid w:val="00F63737"/>
    <w:rsid w:val="00F65ABF"/>
    <w:rsid w:val="00F65F40"/>
    <w:rsid w:val="00F71998"/>
    <w:rsid w:val="00F74929"/>
    <w:rsid w:val="00F7507F"/>
    <w:rsid w:val="00F75C09"/>
    <w:rsid w:val="00F76165"/>
    <w:rsid w:val="00F76F90"/>
    <w:rsid w:val="00F80892"/>
    <w:rsid w:val="00F8097E"/>
    <w:rsid w:val="00F813CE"/>
    <w:rsid w:val="00F8255E"/>
    <w:rsid w:val="00F8759D"/>
    <w:rsid w:val="00F901CA"/>
    <w:rsid w:val="00F95030"/>
    <w:rsid w:val="00F95576"/>
    <w:rsid w:val="00F96905"/>
    <w:rsid w:val="00F97FD7"/>
    <w:rsid w:val="00FA26CE"/>
    <w:rsid w:val="00FA44DC"/>
    <w:rsid w:val="00FA67B3"/>
    <w:rsid w:val="00FB1688"/>
    <w:rsid w:val="00FB1BBC"/>
    <w:rsid w:val="00FB2538"/>
    <w:rsid w:val="00FB2615"/>
    <w:rsid w:val="00FB296E"/>
    <w:rsid w:val="00FB331C"/>
    <w:rsid w:val="00FB39D0"/>
    <w:rsid w:val="00FC6F58"/>
    <w:rsid w:val="00FD17FE"/>
    <w:rsid w:val="00FF0287"/>
    <w:rsid w:val="00FF17BA"/>
    <w:rsid w:val="00FF3673"/>
    <w:rsid w:val="00FF4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86E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162C"/>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C162C"/>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C162C"/>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C162C"/>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C162C"/>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5C162C"/>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5C162C"/>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C162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C162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6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C16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C162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C162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C162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C162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C162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C162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162C"/>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98739A"/>
    <w:pPr>
      <w:ind w:left="720"/>
      <w:contextualSpacing/>
    </w:pPr>
  </w:style>
  <w:style w:type="table" w:styleId="TableGrid">
    <w:name w:val="Table Grid"/>
    <w:basedOn w:val="TableNormal"/>
    <w:uiPriority w:val="39"/>
    <w:rsid w:val="00B84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F70C2"/>
  </w:style>
  <w:style w:type="paragraph" w:styleId="Header">
    <w:name w:val="header"/>
    <w:basedOn w:val="Normal"/>
    <w:link w:val="HeaderChar"/>
    <w:uiPriority w:val="99"/>
    <w:unhideWhenUsed/>
    <w:rsid w:val="00513E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E60"/>
  </w:style>
  <w:style w:type="paragraph" w:styleId="Footer">
    <w:name w:val="footer"/>
    <w:basedOn w:val="Normal"/>
    <w:link w:val="FooterChar"/>
    <w:uiPriority w:val="99"/>
    <w:unhideWhenUsed/>
    <w:rsid w:val="00513E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E60"/>
  </w:style>
  <w:style w:type="paragraph" w:styleId="TOCHeading">
    <w:name w:val="TOC Heading"/>
    <w:basedOn w:val="Heading1"/>
    <w:next w:val="Normal"/>
    <w:uiPriority w:val="39"/>
    <w:unhideWhenUsed/>
    <w:qFormat/>
    <w:rsid w:val="004D0D2E"/>
    <w:pPr>
      <w:numPr>
        <w:numId w:val="0"/>
      </w:numPr>
      <w:outlineLvl w:val="9"/>
    </w:pPr>
  </w:style>
  <w:style w:type="paragraph" w:styleId="TOC1">
    <w:name w:val="toc 1"/>
    <w:basedOn w:val="Normal"/>
    <w:next w:val="Normal"/>
    <w:autoRedefine/>
    <w:uiPriority w:val="39"/>
    <w:unhideWhenUsed/>
    <w:rsid w:val="004D0D2E"/>
    <w:pPr>
      <w:spacing w:after="100"/>
    </w:pPr>
  </w:style>
  <w:style w:type="paragraph" w:styleId="TOC2">
    <w:name w:val="toc 2"/>
    <w:basedOn w:val="Normal"/>
    <w:next w:val="Normal"/>
    <w:autoRedefine/>
    <w:uiPriority w:val="39"/>
    <w:unhideWhenUsed/>
    <w:rsid w:val="004D0D2E"/>
    <w:pPr>
      <w:spacing w:after="100"/>
      <w:ind w:left="220"/>
    </w:pPr>
  </w:style>
  <w:style w:type="character" w:styleId="Hyperlink">
    <w:name w:val="Hyperlink"/>
    <w:basedOn w:val="DefaultParagraphFont"/>
    <w:uiPriority w:val="99"/>
    <w:unhideWhenUsed/>
    <w:rsid w:val="004D0D2E"/>
    <w:rPr>
      <w:color w:val="0563C1" w:themeColor="hyperlink"/>
      <w:u w:val="single"/>
    </w:rPr>
  </w:style>
  <w:style w:type="table" w:styleId="PlainTable1">
    <w:name w:val="Plain Table 1"/>
    <w:basedOn w:val="TableNormal"/>
    <w:uiPriority w:val="41"/>
    <w:rsid w:val="00BF66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BE3E4F"/>
    <w:pPr>
      <w:spacing w:after="0" w:line="240" w:lineRule="auto"/>
    </w:pPr>
    <w:rPr>
      <w:rFonts w:eastAsiaTheme="minorEastAsia"/>
      <w:lang w:val="en-GB" w:eastAsia="en-GB"/>
    </w:rPr>
    <w:tblPr>
      <w:tblCellMar>
        <w:top w:w="0" w:type="dxa"/>
        <w:left w:w="0" w:type="dxa"/>
        <w:bottom w:w="0" w:type="dxa"/>
        <w:right w:w="0" w:type="dxa"/>
      </w:tblCellMar>
    </w:tblPr>
  </w:style>
  <w:style w:type="character" w:styleId="PlaceholderText">
    <w:name w:val="Placeholder Text"/>
    <w:basedOn w:val="DefaultParagraphFont"/>
    <w:uiPriority w:val="99"/>
    <w:semiHidden/>
    <w:rsid w:val="008B64A3"/>
    <w:rPr>
      <w:color w:val="808080"/>
    </w:rPr>
  </w:style>
  <w:style w:type="paragraph" w:styleId="TOC3">
    <w:name w:val="toc 3"/>
    <w:basedOn w:val="Normal"/>
    <w:next w:val="Normal"/>
    <w:autoRedefine/>
    <w:uiPriority w:val="39"/>
    <w:unhideWhenUsed/>
    <w:rsid w:val="00CA5B8A"/>
    <w:pPr>
      <w:spacing w:after="100"/>
      <w:ind w:left="440"/>
    </w:pPr>
    <w:rPr>
      <w:rFonts w:eastAsiaTheme="minorEastAsia" w:cs="Times New Roman"/>
    </w:rPr>
  </w:style>
  <w:style w:type="paragraph" w:styleId="Subtitle">
    <w:name w:val="Subtitle"/>
    <w:basedOn w:val="Normal"/>
    <w:next w:val="Normal"/>
    <w:link w:val="SubtitleChar"/>
    <w:uiPriority w:val="11"/>
    <w:qFormat/>
    <w:rsid w:val="0099085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90858"/>
    <w:rPr>
      <w:rFonts w:eastAsiaTheme="minorEastAsia"/>
      <w:color w:val="5A5A5A" w:themeColor="text1" w:themeTint="A5"/>
      <w:spacing w:val="15"/>
    </w:rPr>
  </w:style>
  <w:style w:type="character" w:styleId="SubtleEmphasis">
    <w:name w:val="Subtle Emphasis"/>
    <w:basedOn w:val="DefaultParagraphFont"/>
    <w:uiPriority w:val="19"/>
    <w:qFormat/>
    <w:rsid w:val="00454238"/>
    <w:rPr>
      <w:i/>
      <w:iCs/>
      <w:color w:val="404040" w:themeColor="text1" w:themeTint="BF"/>
    </w:rPr>
  </w:style>
  <w:style w:type="paragraph" w:styleId="NoSpacing">
    <w:name w:val="No Spacing"/>
    <w:uiPriority w:val="1"/>
    <w:qFormat/>
    <w:rsid w:val="00B832AB"/>
    <w:pPr>
      <w:spacing w:after="0" w:line="240" w:lineRule="auto"/>
    </w:pPr>
  </w:style>
  <w:style w:type="character" w:styleId="UnresolvedMention">
    <w:name w:val="Unresolved Mention"/>
    <w:basedOn w:val="DefaultParagraphFont"/>
    <w:uiPriority w:val="99"/>
    <w:semiHidden/>
    <w:unhideWhenUsed/>
    <w:rsid w:val="00E321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0820">
      <w:bodyDiv w:val="1"/>
      <w:marLeft w:val="0"/>
      <w:marRight w:val="0"/>
      <w:marTop w:val="0"/>
      <w:marBottom w:val="0"/>
      <w:divBdr>
        <w:top w:val="none" w:sz="0" w:space="0" w:color="auto"/>
        <w:left w:val="none" w:sz="0" w:space="0" w:color="auto"/>
        <w:bottom w:val="none" w:sz="0" w:space="0" w:color="auto"/>
        <w:right w:val="none" w:sz="0" w:space="0" w:color="auto"/>
      </w:divBdr>
    </w:div>
    <w:div w:id="61372948">
      <w:bodyDiv w:val="1"/>
      <w:marLeft w:val="0"/>
      <w:marRight w:val="0"/>
      <w:marTop w:val="0"/>
      <w:marBottom w:val="0"/>
      <w:divBdr>
        <w:top w:val="none" w:sz="0" w:space="0" w:color="auto"/>
        <w:left w:val="none" w:sz="0" w:space="0" w:color="auto"/>
        <w:bottom w:val="none" w:sz="0" w:space="0" w:color="auto"/>
        <w:right w:val="none" w:sz="0" w:space="0" w:color="auto"/>
      </w:divBdr>
    </w:div>
    <w:div w:id="261646652">
      <w:bodyDiv w:val="1"/>
      <w:marLeft w:val="0"/>
      <w:marRight w:val="0"/>
      <w:marTop w:val="0"/>
      <w:marBottom w:val="0"/>
      <w:divBdr>
        <w:top w:val="none" w:sz="0" w:space="0" w:color="auto"/>
        <w:left w:val="none" w:sz="0" w:space="0" w:color="auto"/>
        <w:bottom w:val="none" w:sz="0" w:space="0" w:color="auto"/>
        <w:right w:val="none" w:sz="0" w:space="0" w:color="auto"/>
      </w:divBdr>
    </w:div>
    <w:div w:id="269893477">
      <w:bodyDiv w:val="1"/>
      <w:marLeft w:val="0"/>
      <w:marRight w:val="0"/>
      <w:marTop w:val="0"/>
      <w:marBottom w:val="0"/>
      <w:divBdr>
        <w:top w:val="none" w:sz="0" w:space="0" w:color="auto"/>
        <w:left w:val="none" w:sz="0" w:space="0" w:color="auto"/>
        <w:bottom w:val="none" w:sz="0" w:space="0" w:color="auto"/>
        <w:right w:val="none" w:sz="0" w:space="0" w:color="auto"/>
      </w:divBdr>
    </w:div>
    <w:div w:id="381707682">
      <w:bodyDiv w:val="1"/>
      <w:marLeft w:val="0"/>
      <w:marRight w:val="0"/>
      <w:marTop w:val="0"/>
      <w:marBottom w:val="0"/>
      <w:divBdr>
        <w:top w:val="none" w:sz="0" w:space="0" w:color="auto"/>
        <w:left w:val="none" w:sz="0" w:space="0" w:color="auto"/>
        <w:bottom w:val="none" w:sz="0" w:space="0" w:color="auto"/>
        <w:right w:val="none" w:sz="0" w:space="0" w:color="auto"/>
      </w:divBdr>
    </w:div>
    <w:div w:id="657392328">
      <w:bodyDiv w:val="1"/>
      <w:marLeft w:val="0"/>
      <w:marRight w:val="0"/>
      <w:marTop w:val="0"/>
      <w:marBottom w:val="0"/>
      <w:divBdr>
        <w:top w:val="none" w:sz="0" w:space="0" w:color="auto"/>
        <w:left w:val="none" w:sz="0" w:space="0" w:color="auto"/>
        <w:bottom w:val="none" w:sz="0" w:space="0" w:color="auto"/>
        <w:right w:val="none" w:sz="0" w:space="0" w:color="auto"/>
      </w:divBdr>
    </w:div>
    <w:div w:id="698703060">
      <w:bodyDiv w:val="1"/>
      <w:marLeft w:val="0"/>
      <w:marRight w:val="0"/>
      <w:marTop w:val="0"/>
      <w:marBottom w:val="0"/>
      <w:divBdr>
        <w:top w:val="none" w:sz="0" w:space="0" w:color="auto"/>
        <w:left w:val="none" w:sz="0" w:space="0" w:color="auto"/>
        <w:bottom w:val="none" w:sz="0" w:space="0" w:color="auto"/>
        <w:right w:val="none" w:sz="0" w:space="0" w:color="auto"/>
      </w:divBdr>
    </w:div>
    <w:div w:id="1001156679">
      <w:bodyDiv w:val="1"/>
      <w:marLeft w:val="0"/>
      <w:marRight w:val="0"/>
      <w:marTop w:val="0"/>
      <w:marBottom w:val="0"/>
      <w:divBdr>
        <w:top w:val="none" w:sz="0" w:space="0" w:color="auto"/>
        <w:left w:val="none" w:sz="0" w:space="0" w:color="auto"/>
        <w:bottom w:val="none" w:sz="0" w:space="0" w:color="auto"/>
        <w:right w:val="none" w:sz="0" w:space="0" w:color="auto"/>
      </w:divBdr>
    </w:div>
    <w:div w:id="1111827088">
      <w:bodyDiv w:val="1"/>
      <w:marLeft w:val="0"/>
      <w:marRight w:val="0"/>
      <w:marTop w:val="0"/>
      <w:marBottom w:val="0"/>
      <w:divBdr>
        <w:top w:val="none" w:sz="0" w:space="0" w:color="auto"/>
        <w:left w:val="none" w:sz="0" w:space="0" w:color="auto"/>
        <w:bottom w:val="none" w:sz="0" w:space="0" w:color="auto"/>
        <w:right w:val="none" w:sz="0" w:space="0" w:color="auto"/>
      </w:divBdr>
    </w:div>
    <w:div w:id="1133787170">
      <w:bodyDiv w:val="1"/>
      <w:marLeft w:val="0"/>
      <w:marRight w:val="0"/>
      <w:marTop w:val="0"/>
      <w:marBottom w:val="0"/>
      <w:divBdr>
        <w:top w:val="none" w:sz="0" w:space="0" w:color="auto"/>
        <w:left w:val="none" w:sz="0" w:space="0" w:color="auto"/>
        <w:bottom w:val="none" w:sz="0" w:space="0" w:color="auto"/>
        <w:right w:val="none" w:sz="0" w:space="0" w:color="auto"/>
      </w:divBdr>
    </w:div>
    <w:div w:id="1156608699">
      <w:bodyDiv w:val="1"/>
      <w:marLeft w:val="0"/>
      <w:marRight w:val="0"/>
      <w:marTop w:val="0"/>
      <w:marBottom w:val="0"/>
      <w:divBdr>
        <w:top w:val="none" w:sz="0" w:space="0" w:color="auto"/>
        <w:left w:val="none" w:sz="0" w:space="0" w:color="auto"/>
        <w:bottom w:val="none" w:sz="0" w:space="0" w:color="auto"/>
        <w:right w:val="none" w:sz="0" w:space="0" w:color="auto"/>
      </w:divBdr>
    </w:div>
    <w:div w:id="1199123894">
      <w:bodyDiv w:val="1"/>
      <w:marLeft w:val="0"/>
      <w:marRight w:val="0"/>
      <w:marTop w:val="0"/>
      <w:marBottom w:val="0"/>
      <w:divBdr>
        <w:top w:val="none" w:sz="0" w:space="0" w:color="auto"/>
        <w:left w:val="none" w:sz="0" w:space="0" w:color="auto"/>
        <w:bottom w:val="none" w:sz="0" w:space="0" w:color="auto"/>
        <w:right w:val="none" w:sz="0" w:space="0" w:color="auto"/>
      </w:divBdr>
    </w:div>
    <w:div w:id="1250843559">
      <w:bodyDiv w:val="1"/>
      <w:marLeft w:val="0"/>
      <w:marRight w:val="0"/>
      <w:marTop w:val="0"/>
      <w:marBottom w:val="0"/>
      <w:divBdr>
        <w:top w:val="none" w:sz="0" w:space="0" w:color="auto"/>
        <w:left w:val="none" w:sz="0" w:space="0" w:color="auto"/>
        <w:bottom w:val="none" w:sz="0" w:space="0" w:color="auto"/>
        <w:right w:val="none" w:sz="0" w:space="0" w:color="auto"/>
      </w:divBdr>
    </w:div>
    <w:div w:id="1452364705">
      <w:bodyDiv w:val="1"/>
      <w:marLeft w:val="0"/>
      <w:marRight w:val="0"/>
      <w:marTop w:val="0"/>
      <w:marBottom w:val="0"/>
      <w:divBdr>
        <w:top w:val="none" w:sz="0" w:space="0" w:color="auto"/>
        <w:left w:val="none" w:sz="0" w:space="0" w:color="auto"/>
        <w:bottom w:val="none" w:sz="0" w:space="0" w:color="auto"/>
        <w:right w:val="none" w:sz="0" w:space="0" w:color="auto"/>
      </w:divBdr>
    </w:div>
    <w:div w:id="1506361250">
      <w:bodyDiv w:val="1"/>
      <w:marLeft w:val="0"/>
      <w:marRight w:val="0"/>
      <w:marTop w:val="0"/>
      <w:marBottom w:val="0"/>
      <w:divBdr>
        <w:top w:val="none" w:sz="0" w:space="0" w:color="auto"/>
        <w:left w:val="none" w:sz="0" w:space="0" w:color="auto"/>
        <w:bottom w:val="none" w:sz="0" w:space="0" w:color="auto"/>
        <w:right w:val="none" w:sz="0" w:space="0" w:color="auto"/>
      </w:divBdr>
    </w:div>
    <w:div w:id="1593389470">
      <w:bodyDiv w:val="1"/>
      <w:marLeft w:val="0"/>
      <w:marRight w:val="0"/>
      <w:marTop w:val="0"/>
      <w:marBottom w:val="0"/>
      <w:divBdr>
        <w:top w:val="none" w:sz="0" w:space="0" w:color="auto"/>
        <w:left w:val="none" w:sz="0" w:space="0" w:color="auto"/>
        <w:bottom w:val="none" w:sz="0" w:space="0" w:color="auto"/>
        <w:right w:val="none" w:sz="0" w:space="0" w:color="auto"/>
      </w:divBdr>
    </w:div>
    <w:div w:id="1740981397">
      <w:bodyDiv w:val="1"/>
      <w:marLeft w:val="0"/>
      <w:marRight w:val="0"/>
      <w:marTop w:val="0"/>
      <w:marBottom w:val="0"/>
      <w:divBdr>
        <w:top w:val="none" w:sz="0" w:space="0" w:color="auto"/>
        <w:left w:val="none" w:sz="0" w:space="0" w:color="auto"/>
        <w:bottom w:val="none" w:sz="0" w:space="0" w:color="auto"/>
        <w:right w:val="none" w:sz="0" w:space="0" w:color="auto"/>
      </w:divBdr>
    </w:div>
    <w:div w:id="194703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Rho18</b:Tag>
    <b:SourceType>Report</b:SourceType>
    <b:Guid>{5F70D6A1-4038-43D2-A046-5E69C4F41585}</b:Guid>
    <b:Title>Retail sector in the UK</b:Title>
    <b:Year>2018</b:Year>
    <b:City>London</b:City>
    <b:Publisher>House of Commons Library</b:Publisher>
    <b:Author>
      <b:Author>
        <b:NameList>
          <b:Person>
            <b:Last>Rhodes</b:Last>
            <b:First>Chris</b:First>
          </b:Person>
        </b:NameList>
      </b:Author>
    </b:Author>
    <b:ThesisType>Breifing Paper</b:ThesisType>
    <b:StandardNumber>SN06186</b:StandardNumber>
    <b:YearAccessed>2018</b:YearAccessed>
    <b:MonthAccessed>December</b:MonthAccessed>
    <b:DayAccessed>3</b:DayAccessed>
    <b:URL>http://researchbriefings.files.parliament.uk/documents/SN06186/SN06186.pdf</b:URL>
    <b:RefOrder>7</b:RefOrder>
  </b:Source>
  <b:Source>
    <b:Tag>Kha161</b:Tag>
    <b:SourceType>JournalArticle</b:SourceType>
    <b:Guid>{3EE31E65-A752-4AB8-94CC-5526FF676C79}</b:Guid>
    <b:Title>An Empirical Analysis of Inventory Turnover Performance Within a Local Chinese Supermarket</b:Title>
    <b:Year>2016</b:Year>
    <b:Author>
      <b:Author>
        <b:NameList>
          <b:Person>
            <b:Last>Khan</b:Last>
            <b:Middle>A</b:Middle>
            <b:First>Junaid</b:First>
          </b:Person>
          <b:Person>
            <b:Last>Deng</b:Last>
            <b:First>Shiming</b:First>
          </b:Person>
          <b:Person>
            <b:Last>Khan</b:Last>
            <b:Middle>H</b:Middle>
            <b:First>Muhammad</b:First>
          </b:Person>
        </b:NameList>
      </b:Author>
    </b:Author>
    <b:JournalName>European Scientific Journal</b:JournalName>
    <b:Pages>145-157</b:Pages>
    <b:Month>December</b:Month>
    <b:Volume>12</b:Volume>
    <b:Issue>34</b:Issue>
    <b:DOI>10.19044/esj.2016.v12n34p145 </b:DOI>
    <b:RefOrder>8</b:RefOrder>
  </b:Source>
  <b:Source>
    <b:Tag>Atn18</b:Tag>
    <b:SourceType>JournalArticle</b:SourceType>
    <b:Guid>{DDD20D00-382B-4E52-88A3-32289B03B843}</b:Guid>
    <b:Title>The impact of inventory management practice on firms’ competitiveness and organizational performance: Empirical evidence from micro and small enterprises in Ethiopia</b:Title>
    <b:JournalName>Cogent Business &amp; Management</b:JournalName>
    <b:Year>2018</b:Year>
    <b:Pages>1-16</b:Pages>
    <b:Author>
      <b:Author>
        <b:NameList>
          <b:Person>
            <b:Last>Atnafu</b:Last>
            <b:First>Daniel</b:First>
          </b:Person>
          <b:Person>
            <b:Last>Balda</b:Last>
            <b:First>Assefa</b:First>
          </b:Person>
        </b:NameList>
      </b:Author>
    </b:Author>
    <b:Volume>5</b:Volume>
    <b:DOI>10.1080/23311975.2018.1503219</b:DOI>
    <b:RefOrder>9</b:RefOrder>
  </b:Source>
  <b:Source>
    <b:Tag>Ser14</b:Tag>
    <b:SourceType>JournalArticle</b:SourceType>
    <b:Guid>{1E934016-449C-47E9-9B42-BC6879D73BF9}</b:Guid>
    <b:Title>Determinant factors of the capital structure of a firm- an empirical analysis</b:Title>
    <b:JournalName>Procedia Economics and Finance</b:JournalName>
    <b:Year>2014</b:Year>
    <b:Pages>1447-1457</b:Pages>
    <b:Author>
      <b:Author>
        <b:NameList>
          <b:Person>
            <b:Last>Serghiescu</b:Last>
            <b:First>Laura</b:First>
          </b:Person>
          <b:Person>
            <b:Last>Văidean</b:Last>
            <b:First>Viorela-Ligia</b:First>
          </b:Person>
        </b:NameList>
      </b:Author>
    </b:Author>
    <b:Volume>15</b:Volume>
    <b:DOI>10.1016/S2212-5671(14)00610-8</b:DOI>
    <b:RefOrder>10</b:RefOrder>
  </b:Source>
  <b:Source>
    <b:Tag>Cor12</b:Tag>
    <b:SourceType>JournalArticle</b:SourceType>
    <b:Guid>{D8314448-EE8A-44C7-B1C9-0C1D58D9DC0B}</b:Guid>
    <b:Title>The Determinants of Corporate Capital Structure: Evidence from Japanese Manufacturing Companies</b:Title>
    <b:JournalName>Journal of International Business Research</b:JournalName>
    <b:Year>2012</b:Year>
    <b:Pages>121-134</b:Pages>
    <b:Volume>11</b:Volume>
    <b:Issue>3</b:Issue>
    <b:YearAccessed>2018</b:YearAccessed>
    <b:MonthAccessed>December</b:MonthAccessed>
    <b:DayAccessed>3</b:DayAccessed>
    <b:URL>http://faculty.cbpa.drake.edu/suh/fin282/articles/capitalstructure2.pdf</b:URL>
    <b:Author>
      <b:Author>
        <b:NameList>
          <b:Person>
            <b:Last>Cortez</b:Last>
            <b:Middle>A</b:Middle>
            <b:First>Michael</b:First>
          </b:Person>
          <b:Person>
            <b:Last>Susanto</b:Last>
            <b:First>Stevie</b:First>
          </b:Person>
        </b:NameList>
      </b:Author>
    </b:Author>
    <b:RefOrder>11</b:RefOrder>
  </b:Source>
  <b:Source>
    <b:Tag>Mod13</b:Tag>
    <b:SourceType>JournalArticle</b:SourceType>
    <b:Guid>{4291098B-4322-4791-A151-CE97F33C7A6C}</b:Guid>
    <b:Title>Capital Structure Decision: An Overview</b:Title>
    <b:JournalName>Journal of Finance and Bank Management</b:JournalName>
    <b:Year>2013</b:Year>
    <b:Pages>14-27</b:Pages>
    <b:Author>
      <b:Author>
        <b:NameList>
          <b:Person>
            <b:Last>Modugu</b:Last>
            <b:Middle>P</b:Middle>
            <b:First>Kennedy</b:First>
          </b:Person>
        </b:NameList>
      </b:Author>
    </b:Author>
    <b:Month>June</b:Month>
    <b:Volume>1</b:Volume>
    <b:Issue>1</b:Issue>
    <b:YearAccessed>2018</b:YearAccessed>
    <b:MonthAccessed>December</b:MonthAccessed>
    <b:DayAccessed>3</b:DayAccessed>
    <b:URL>http://jfbmnet.com/journals/jfbm/Vol_1_No_1_June_2013/2.pdf</b:URL>
    <b:RefOrder>12</b:RefOrder>
  </b:Source>
  <b:Source>
    <b:Tag>Nuh141</b:Tag>
    <b:SourceType>JournalArticle</b:SourceType>
    <b:Guid>{CFC3C15D-ADA5-4A48-B3D8-571423402756}</b:Guid>
    <b:Title>Role of Ratio Analysis in Business Decisions:  A Case Study NBC Maiduguri Plant</b:Title>
    <b:JournalName>Journal of Educational and Social Research</b:JournalName>
    <b:Year>2014</b:Year>
    <b:Pages>105-118</b:Pages>
    <b:Author>
      <b:Author>
        <b:NameList>
          <b:Person>
            <b:Last>Nuhu</b:Last>
            <b:First>Mohammed</b:First>
          </b:Person>
        </b:NameList>
      </b:Author>
    </b:Author>
    <b:Month>July</b:Month>
    <b:Volume>4</b:Volume>
    <b:Issue>5</b:Issue>
    <b:DOI>10.5901/jesr.2014.v4n5p105</b:DOI>
    <b:RefOrder>13</b:RefOrder>
  </b:Source>
  <b:Source>
    <b:Tag>The131</b:Tag>
    <b:SourceType>JournalArticle</b:SourceType>
    <b:Guid>{C9FD93C2-327D-4A5F-8841-03C3D5E4A580}</b:Guid>
    <b:Title>The Role of Financial Analysis Ratio in Evaluating  Performance</b:Title>
    <b:JournalName>Interdisciplinary Journal of Contemporary Research in Business</b:JournalName>
    <b:Year>2013</b:Year>
    <b:Pages>13-28</b:Pages>
    <b:Month>June</b:Month>
    <b:Volume>5</b:Volume>
    <b:Issue>2</b:Issue>
    <b:YearAccessed>2018</b:YearAccessed>
    <b:MonthAccessed>December</b:MonthAccessed>
    <b:DayAccessed>3</b:DayAccessed>
    <b:URL>https://journal-archieves33.webs.com/13-28.pdf</b:URL>
    <b:Author>
      <b:Author>
        <b:NameList>
          <b:Person>
            <b:Last>El- Dalabeeh</b:Last>
            <b:First>Kh</b:First>
          </b:Person>
          <b:Person>
            <b:Last>Rahman</b:Last>
            <b:First>Abdel</b:First>
          </b:Person>
        </b:NameList>
      </b:Author>
    </b:Author>
    <b:RefOrder>14</b:RefOrder>
  </b:Source>
  <b:Source>
    <b:Tag>Abd14</b:Tag>
    <b:SourceType>JournalArticle</b:SourceType>
    <b:Guid>{D704452C-C98A-46FB-A3D8-2F7D0C868FE8}</b:Guid>
    <b:Title>Financial ratios as performance measure: A comparison of IFRS and Nigerian GAAP</b:Title>
    <b:JournalName>Accounting and Management Information Systems</b:JournalName>
    <b:Year>2014</b:Year>
    <b:Pages>82–97</b:Pages>
    <b:Author>
      <b:Author>
        <b:NameList>
          <b:Person>
            <b:Last>Abdul-Baki</b:Last>
            <b:First>Zayyad</b:First>
          </b:Person>
          <b:Person>
            <b:Last>Uthman</b:Last>
            <b:Middle>B</b:Middle>
            <b:First>Ahmad</b:First>
          </b:Person>
          <b:Person>
            <b:Last>Sanni</b:Last>
            <b:First>Mubaraq</b:First>
          </b:Person>
        </b:NameList>
      </b:Author>
    </b:Author>
    <b:Volume>13</b:Volume>
    <b:Issue>1</b:Issue>
    <b:YearAccessed>2018</b:YearAccessed>
    <b:MonthAccessed>December</b:MonthAccessed>
    <b:DayAccessed>3</b:DayAccessed>
    <b:URL>ftp://5.9.150.131/opt/ReDIF/RePEc/ami/articles/13_1_4.pdf</b:URL>
    <b:RefOrder>15</b:RefOrder>
  </b:Source>
  <b:Source>
    <b:Tag>Bar152</b:Tag>
    <b:SourceType>JournalArticle</b:SourceType>
    <b:Guid>{4705034E-5CB8-4120-B085-3AE0580587A4}</b:Guid>
    <b:Title>Archival Data in Micro-Organizational Research: A Toolkit for Moving to a Broader Set of Topics</b:Title>
    <b:JournalName>Journal of Management</b:JournalName>
    <b:Year>2015</b:Year>
    <b:Pages>1-26</b:Pages>
    <b:Author>
      <b:Author>
        <b:NameList>
          <b:Person>
            <b:Last>Barnes</b:Last>
            <b:Middle>M</b:Middle>
            <b:First>Christopher</b:First>
          </b:Person>
          <b:Person>
            <b:Last>Dang</b:Last>
            <b:Middle>T</b:Middle>
            <b:First>Carolyn</b:First>
          </b:Person>
          <b:Person>
            <b:Last>Leavitt</b:Last>
            <b:First>Keith</b:First>
          </b:Person>
          <b:Person>
            <b:Last>Guarana</b:Last>
            <b:Middle>L</b:Middle>
            <b:First>Cristiano</b:First>
          </b:Person>
          <b:Person>
            <b:Last>Uhlmann</b:Last>
            <b:Middle>L</b:Middle>
            <b:First>Eric</b:First>
          </b:Person>
        </b:NameList>
      </b:Author>
    </b:Author>
    <b:Volume>20</b:Volume>
    <b:Issue>10</b:Issue>
    <b:DOI>10.1177/0149206315604188</b:DOI>
    <b:RefOrder>16</b:RefOrder>
  </b:Source>
  <b:Source>
    <b:Tag>Por80</b:Tag>
    <b:SourceType>Book</b:SourceType>
    <b:Guid>{516B9F51-AF83-4E07-8514-723813E94B3A}</b:Guid>
    <b:Title>Competitive Strategy</b:Title>
    <b:Year>1980</b:Year>
    <b:City>New York, NY</b:City>
    <b:Publisher>Free Press</b:Publisher>
    <b:Author>
      <b:Author>
        <b:NameList>
          <b:Person>
            <b:Last>Porter</b:Last>
            <b:Middle>E</b:Middle>
            <b:First>Michael</b:First>
          </b:Person>
        </b:NameList>
      </b:Author>
    </b:Author>
    <b:RefOrder>17</b:RefOrder>
  </b:Source>
  <b:Source>
    <b:Tag>Pha16</b:Tag>
    <b:SourceType>JournalArticle</b:SourceType>
    <b:Guid>{E6D334D9-317A-413A-AB08-1B54B933C72F}</b:Guid>
    <b:Title>Importance-Performance Analysis based SWOT analysis</b:Title>
    <b:Year>2016</b:Year>
    <b:Volume>44</b:Volume>
    <b:Pages>194-203</b:Pages>
    <b:DOI>10.1016/j.ijinfomgt.2016.03.009</b:DOI>
    <b:JournalName>International Journal of Information Management</b:JournalName>
    <b:Month>February</b:Month>
    <b:Author>
      <b:Author>
        <b:NameList>
          <b:Person>
            <b:Last>Phadermrod</b:Last>
            <b:First>Boonyarat</b:First>
          </b:Person>
          <b:Person>
            <b:Last>Crowder</b:Last>
            <b:Middle>M</b:Middle>
            <b:First>Richard</b:First>
          </b:Person>
          <b:Person>
            <b:Last>Wills</b:Last>
            <b:Middle>B</b:Middle>
            <b:First>Gary</b:First>
          </b:Person>
        </b:NameList>
      </b:Author>
    </b:Author>
    <b:RefOrder>18</b:RefOrder>
  </b:Source>
  <b:Source>
    <b:Tag>Tun15</b:Tag>
    <b:SourceType>JournalArticle</b:SourceType>
    <b:Guid>{FADAF594-2E7E-4B01-B419-8F336DC74D2E}</b:Guid>
    <b:Title>SWOT Analysis in Strategıc Management and a Sample Applicatıon in Public</b:Title>
    <b:JournalName>International Research Journal of York University</b:JournalName>
    <b:Year>2015</b:Year>
    <b:Pages>276-301</b:Pages>
    <b:Author>
      <b:Author>
        <b:NameList>
          <b:Person>
            <b:Last>Tuncay</b:Last>
            <b:First>Musa</b:First>
          </b:Person>
        </b:NameList>
      </b:Author>
    </b:Author>
    <b:Month>June</b:Month>
    <b:Volume>2</b:Volume>
    <b:Issue>3</b:Issue>
    <b:YearAccessed>2018</b:YearAccessed>
    <b:MonthAccessed>December</b:MonthAccessed>
    <b:DayAccessed>3</b:DayAccessed>
    <b:URL>https://mpra.ub.uni-muenchen.de/67213/1/MPRA_paper_67213.pdf</b:URL>
    <b:RefOrder>19</b:RefOrder>
  </b:Source>
  <b:Source>
    <b:Tag>van131</b:Tag>
    <b:SourceType>Book</b:SourceType>
    <b:Guid>{446962B1-EDAD-465A-B93F-6C6A16A06C70}</b:Guid>
    <b:Title>Advanced financial risk management : tools and techniques for integrated credit Risk and interest rate risk management</b:Title>
    <b:Year>2013</b:Year>
    <b:City>New York</b:City>
    <b:Publisher>Wiley</b:Publisher>
    <b:Medium>Print</b:Medium>
    <b:Author>
      <b:Author>
        <b:NameList>
          <b:Person>
            <b:Last>van Deventer</b:Last>
            <b:Middle>R</b:Middle>
            <b:First>Donald</b:First>
          </b:Person>
          <b:Person>
            <b:Last>Imai</b:Last>
            <b:First>Kenji</b:First>
          </b:Person>
          <b:Person>
            <b:Last>Mesler</b:Last>
            <b:First>Mark</b:First>
          </b:Person>
        </b:NameList>
      </b:Author>
    </b:Author>
    <b:RefOrder>20</b:RefOrder>
  </b:Source>
  <b:Source>
    <b:Tag>Apo15</b:Tag>
    <b:SourceType>Book</b:SourceType>
    <b:Guid>{84E5C41A-4286-4A8A-B332-A7F2813F76BD}</b:Guid>
    <b:Title>Foundations of financial risk : an overview of financial risk and risk-based regulation</b:Title>
    <b:Year>2015</b:Year>
    <b:City>Hoboken</b:City>
    <b:Publisher>John Wiley &amp; Sons, Inc</b:Publisher>
    <b:Medium>Print</b:Medium>
    <b:Author>
      <b:Author>
        <b:NameList>
          <b:Person>
            <b:Last>Apostolik</b:Last>
            <b:First>Richard</b:First>
          </b:Person>
          <b:Person>
            <b:Last>Donohue</b:Last>
            <b:First>Christopher</b:First>
          </b:Person>
        </b:NameList>
      </b:Author>
    </b:Author>
    <b:RefOrder>21</b:RefOrder>
  </b:Source>
  <b:Source>
    <b:Tag>Mac15</b:Tag>
    <b:SourceType>Book</b:SourceType>
    <b:Guid>{659806A6-3865-4F0E-B7C6-849A8ED44F42}</b:Guid>
    <b:Title>Mastering interest rate risk strategy : a practical guide to managing corporate financial risk</b:Title>
    <b:Year>2015</b:Year>
    <b:City>New York</b:City>
    <b:Publisher>Pearson FT Publishing International</b:Publisher>
    <b:Medium>Print</b:Medium>
    <b:Author>
      <b:Author>
        <b:NameList>
          <b:Person>
            <b:Last>Macrae</b:Last>
            <b:First>Victor</b:First>
          </b:Person>
        </b:NameList>
      </b:Author>
    </b:Author>
    <b:RefOrder>22</b:RefOrder>
  </b:Source>
  <b:Source>
    <b:Tag>Ass131</b:Tag>
    <b:SourceType>Book</b:SourceType>
    <b:Guid>{87712B3F-F703-4FE5-9665-E2C2592F9586}</b:Guid>
    <b:Title>Financial Performance</b:Title>
    <b:Year>2013</b:Year>
    <b:Author>
      <b:Author>
        <b:Corporate>Association of Accounting Technicians</b:Corporate>
      </b:Author>
    </b:Author>
    <b:City>London</b:City>
    <b:Publisher>BPP Learning Media Ltd.</b:Publisher>
    <b:RefOrder>23</b:RefOrder>
  </b:Source>
  <b:Source>
    <b:Tag>Pen121</b:Tag>
    <b:SourceType>Book</b:SourceType>
    <b:Guid>{0EC5D96E-9C12-4E98-94F9-36900ACA6C7B}</b:Guid>
    <b:Title>Financial Performance</b:Title>
    <b:Year>2012</b:Year>
    <b:City>Worcester</b:City>
    <b:Publisher>Osborne</b:Publisher>
    <b:Author>
      <b:Author>
        <b:NameList>
          <b:Person>
            <b:Last>Penning</b:Last>
            <b:First>Aubrey</b:First>
          </b:Person>
          <b:Person>
            <b:Last>Brammer</b:Last>
            <b:First>Janet</b:First>
          </b:Person>
        </b:NameList>
      </b:Author>
    </b:Author>
    <b:RefOrder>24</b:RefOrder>
  </b:Source>
  <b:Source>
    <b:Tag>Eme98</b:Tag>
    <b:SourceType>Book</b:SourceType>
    <b:Guid>{2D307C0F-28F3-422F-886E-49853F2A7F7E}</b:Guid>
    <b:Title>Principles of financial management</b:Title>
    <b:Year>1998</b:Year>
    <b:City>Upper Saddle River, NJ</b:City>
    <b:Publisher>Prentice Hall</b:Publisher>
    <b:Author>
      <b:Author>
        <b:NameList>
          <b:Person>
            <b:Last>Emery</b:Last>
            <b:Middle>R</b:Middle>
            <b:First>Douglas</b:First>
          </b:Person>
          <b:Person>
            <b:Last>Finnerty</b:Last>
            <b:Middle>D</b:Middle>
            <b:First>John</b:First>
          </b:Person>
          <b:Person>
            <b:Last>Stowe</b:Last>
            <b:Middle>D</b:Middle>
            <b:First>John</b:First>
          </b:Person>
        </b:NameList>
      </b:Author>
    </b:Author>
    <b:RefOrder>25</b:RefOrder>
  </b:Source>
  <b:Source>
    <b:Tag>Wea121</b:Tag>
    <b:SourceType>Book</b:SourceType>
    <b:Guid>{5EA54C43-F928-4FB9-B91F-FDF415BFEE18}</b:Guid>
    <b:Title>The Essentials of Financial Analysis</b:Title>
    <b:Year>2012</b:Year>
    <b:City>New York</b:City>
    <b:Publisher>McGraw-Hill</b:Publisher>
    <b:Author>
      <b:Author>
        <b:NameList>
          <b:Person>
            <b:Last>Weaver</b:Last>
            <b:Middle>C</b:Middle>
            <b:First>Samuel</b:First>
          </b:Person>
        </b:NameList>
      </b:Author>
    </b:Author>
    <b:RefOrder>26</b:RefOrder>
  </b:Source>
  <b:Source>
    <b:Tag>Dam12</b:Tag>
    <b:SourceType>JournalArticle</b:SourceType>
    <b:Guid>{4648D4AE-DBAF-4B57-8B45-4DACC5EA9B8A}</b:Guid>
    <b:Title>Investment   Valuation:   Tools   and   Techniques   for Determing  the  Value  of  Any Asset. </b:Title>
    <b:Year>2012</b:Year>
    <b:Author>
      <b:Author>
        <b:NameList>
          <b:Person>
            <b:Last>Damodaran</b:Last>
            <b:First>Ashwath</b:First>
          </b:Person>
        </b:NameList>
      </b:Author>
    </b:Author>
    <b:RefOrder>1</b:RefOrder>
  </b:Source>
  <b:Source>
    <b:Tag>Car06</b:Tag>
    <b:SourceType>JournalArticle</b:SourceType>
    <b:Guid>{DF1FA037-30B3-4DD5-AF4C-D0F2F1E1AA3E}</b:Guid>
    <b:Author>
      <b:Author>
        <b:NameList>
          <b:Person>
            <b:Last>Carter</b:Last>
            <b:First>David</b:First>
          </b:Person>
          <b:Person>
            <b:Last>Rogers</b:Last>
            <b:First>Daniel</b:First>
          </b:Person>
        </b:NameList>
      </b:Author>
    </b:Author>
    <b:Title>Does Hedging Affect Firm   Value?   Evidence   from   the   US   Airline   Industry</b:Title>
    <b:JournalName>Financial Management.</b:JournalName>
    <b:Year>206</b:Year>
    <b:Pages>53–86</b:Pages>
    <b:Volume>35</b:Volume>
    <b:RefOrder>27</b:RefOrder>
  </b:Source>
  <b:Source>
    <b:Tag>Car061</b:Tag>
    <b:SourceType>JournalArticle</b:SourceType>
    <b:Guid>{45015D51-1B58-441E-B010-C8F3131EF726}</b:Guid>
    <b:Author>
      <b:Author>
        <b:NameList>
          <b:Person>
            <b:Last>Carter</b:Last>
            <b:First>David</b:First>
          </b:Person>
          <b:Person>
            <b:Last>Rogers</b:Last>
            <b:First>Daniel</b:First>
          </b:Person>
          <b:Person>
            <b:Last>Simkins</b:Last>
            <b:First>Betty</b:First>
          </b:Person>
        </b:NameList>
      </b:Author>
    </b:Author>
    <b:Title>Does Hedging Affect Firm   Value?   Evidence   from   the   US   Airline   Industry</b:Title>
    <b:JournalName>Financial Management.</b:JournalName>
    <b:Year>2006</b:Year>
    <b:Pages>53–86</b:Pages>
    <b:Volume>35</b:Volume>
    <b:RefOrder>4</b:RefOrder>
  </b:Source>
  <b:Source>
    <b:Tag>Ber14</b:Tag>
    <b:SourceType>JournalArticle</b:SourceType>
    <b:Guid>{C6950CF6-E5B5-4069-B342-949194C1606F}</b:Guid>
    <b:Author>
      <b:Author>
        <b:NameList>
          <b:Person>
            <b:Last>Berghöfer</b:Last>
            <b:First>Britta</b:First>
          </b:Person>
          <b:Person>
            <b:Last>Lucey</b:Last>
            <b:First>Brian</b:First>
          </b:Person>
        </b:NameList>
      </b:Author>
    </b:Author>
    <b:Title>Fuel  hedging,  operational  hedging  and  risk exposure – Evidence from the global airline industry</b:Title>
    <b:JournalName>International Review of Financial Analysis</b:JournalName>
    <b:Year>2014</b:Year>
    <b:Pages>200–211</b:Pages>
    <b:Volume>34</b:Volume>
    <b:Issue>1</b:Issue>
    <b:RefOrder>2</b:RefOrder>
  </b:Source>
  <b:Source>
    <b:Tag>Lin09</b:Tag>
    <b:SourceType>JournalArticle</b:SourceType>
    <b:Guid>{8CA32B14-CADA-4850-A80F-8008C047B269}</b:Guid>
    <b:Author>
      <b:Author>
        <b:NameList>
          <b:Person>
            <b:Last>Rueyjian</b:Last>
            <b:First>Lin</b:First>
          </b:Person>
          <b:Person>
            <b:Last>Chang</b:Last>
            <b:First>Yuanchen</b:First>
          </b:Person>
        </b:NameList>
      </b:Author>
    </b:Author>
    <b:Title>Does hedging add value? Evidence from the global airline industry."</b:Title>
    <b:JournalName>Evidence from the Global Airline Industry </b:JournalName>
    <b:Year>2009</b:Year>
    <b:RefOrder>5</b:RefOrder>
  </b:Source>
  <b:Source>
    <b:Tag>Ada12</b:Tag>
    <b:SourceType>JournalArticle</b:SourceType>
    <b:Guid>{B4D09A71-22A7-4675-A32B-4C6EED311D07}</b:Guid>
    <b:Author>
      <b:Author>
        <b:NameList>
          <b:Person>
            <b:Last>Zeno</b:Last>
            <b:First>Adams</b:First>
          </b:Person>
          <b:Person>
            <b:Last>Gerner</b:Last>
            <b:First>Mathias</b:First>
          </b:Person>
        </b:NameList>
      </b:Author>
    </b:Author>
    <b:Title>"Cross hedging jet-fuel price exposure." Energy Economics </b:Title>
    <b:JournalName>Energy Economics</b:JournalName>
    <b:Year>2012</b:Year>
    <b:Pages>301-1309</b:Pages>
    <b:Volume>34</b:Volume>
    <b:Issue>5</b:Issue>
    <b:RefOrder>3</b:RefOrder>
  </b:Source>
  <b:Source>
    <b:Tag>Tok12</b:Tag>
    <b:SourceType>JournalArticle</b:SourceType>
    <b:Guid>{9C61646D-DB12-4D91-82EB-EC635FB18A77}</b:Guid>
    <b:Author>
      <b:Author>
        <b:NameList>
          <b:Person>
            <b:Last>Tokic</b:Last>
            <b:First>Damir</b:First>
          </b:Person>
        </b:NameList>
      </b:Author>
    </b:Author>
    <b:Title>When hedging fails: What every CEO should know about speculation</b:Title>
    <b:JournalName>Journal of Management Development</b:JournalName>
    <b:Year>2012</b:Year>
    <b:RefOrder>6</b:RefOrder>
  </b:Source>
</b:Sources>
</file>

<file path=customXml/itemProps1.xml><?xml version="1.0" encoding="utf-8"?>
<ds:datastoreItem xmlns:ds="http://schemas.openxmlformats.org/officeDocument/2006/customXml" ds:itemID="{A333F858-09A5-4C51-8528-8175DAE36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2629</Words>
  <Characters>14989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2020-06-03T06:03:00Z</dcterms:created>
  <dcterms:modified xsi:type="dcterms:W3CDTF">2020-06-03T06:03:00Z</dcterms:modified>
</cp:coreProperties>
</file>